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B17A" w14:textId="77777777" w:rsidR="00121461" w:rsidRPr="00955DA0" w:rsidRDefault="0098406F" w:rsidP="00457839">
      <w:pPr>
        <w:pStyle w:val="NormalWeb"/>
        <w:spacing w:after="0"/>
        <w:jc w:val="center"/>
        <w:rPr>
          <w:rFonts w:ascii="Calibri Light" w:hAnsi="Calibri Light"/>
          <w:b/>
          <w:sz w:val="20"/>
          <w:szCs w:val="20"/>
        </w:rPr>
      </w:pPr>
      <w:r w:rsidRPr="00955DA0">
        <w:rPr>
          <w:rStyle w:val="Emphasis"/>
          <w:rFonts w:ascii="Calibri Light" w:hAnsi="Calibri Light"/>
          <w:b/>
          <w:i w:val="0"/>
          <w:iCs w:val="0"/>
          <w:sz w:val="20"/>
          <w:szCs w:val="20"/>
        </w:rPr>
        <w:t xml:space="preserve">Access </w:t>
      </w:r>
      <w:proofErr w:type="spellStart"/>
      <w:r w:rsidRPr="00955DA0">
        <w:rPr>
          <w:rStyle w:val="Emphasis"/>
          <w:rFonts w:ascii="Calibri Light" w:hAnsi="Calibri Light"/>
          <w:b/>
          <w:i w:val="0"/>
          <w:iCs w:val="0"/>
          <w:sz w:val="20"/>
          <w:szCs w:val="20"/>
        </w:rPr>
        <w:t>to</w:t>
      </w:r>
      <w:proofErr w:type="spellEnd"/>
      <w:r w:rsidRPr="00955DA0">
        <w:rPr>
          <w:rStyle w:val="Emphasis"/>
          <w:rFonts w:ascii="Calibri Light" w:hAnsi="Calibri Light"/>
          <w:b/>
          <w:i w:val="0"/>
          <w:iCs w:val="0"/>
          <w:sz w:val="20"/>
          <w:szCs w:val="20"/>
        </w:rPr>
        <w:t xml:space="preserve"> </w:t>
      </w:r>
      <w:proofErr w:type="spellStart"/>
      <w:r w:rsidRPr="00955DA0">
        <w:rPr>
          <w:rStyle w:val="Emphasis"/>
          <w:rFonts w:ascii="Calibri Light" w:hAnsi="Calibri Light"/>
          <w:b/>
          <w:i w:val="0"/>
          <w:iCs w:val="0"/>
          <w:sz w:val="20"/>
          <w:szCs w:val="20"/>
        </w:rPr>
        <w:t>Medicine</w:t>
      </w:r>
      <w:proofErr w:type="spellEnd"/>
      <w:r w:rsidRPr="00955DA0">
        <w:rPr>
          <w:rStyle w:val="Emphasis"/>
          <w:rFonts w:ascii="Calibri Light" w:hAnsi="Calibri Light"/>
          <w:b/>
          <w:i w:val="0"/>
          <w:iCs w:val="0"/>
          <w:sz w:val="20"/>
          <w:szCs w:val="20"/>
        </w:rPr>
        <w:t xml:space="preserve"> Index 2016: </w:t>
      </w:r>
      <w:r w:rsidR="00601681" w:rsidRPr="00955DA0">
        <w:rPr>
          <w:rStyle w:val="Emphasis"/>
          <w:rFonts w:ascii="Calibri Light" w:hAnsi="Calibri Light"/>
          <w:b/>
          <w:i w:val="0"/>
          <w:iCs w:val="0"/>
          <w:sz w:val="20"/>
          <w:szCs w:val="20"/>
        </w:rPr>
        <w:t>Pharmaunterneh</w:t>
      </w:r>
      <w:bookmarkStart w:id="0" w:name="_GoBack"/>
      <w:bookmarkEnd w:id="0"/>
      <w:r w:rsidR="00601681" w:rsidRPr="00955DA0">
        <w:rPr>
          <w:rStyle w:val="Emphasis"/>
          <w:rFonts w:ascii="Calibri Light" w:hAnsi="Calibri Light"/>
          <w:b/>
          <w:i w:val="0"/>
          <w:iCs w:val="0"/>
          <w:sz w:val="20"/>
          <w:szCs w:val="20"/>
        </w:rPr>
        <w:t>men</w:t>
      </w:r>
      <w:r w:rsidR="00121461" w:rsidRPr="00955DA0">
        <w:rPr>
          <w:rStyle w:val="Emphasis"/>
          <w:rFonts w:ascii="Calibri Light" w:hAnsi="Calibri Light"/>
          <w:b/>
          <w:i w:val="0"/>
          <w:iCs w:val="0"/>
          <w:sz w:val="20"/>
          <w:szCs w:val="20"/>
        </w:rPr>
        <w:t xml:space="preserve"> verbessern ihre Strategien, um </w:t>
      </w:r>
      <w:r w:rsidRPr="00955DA0">
        <w:rPr>
          <w:rStyle w:val="Emphasis"/>
          <w:rFonts w:ascii="Calibri Light" w:hAnsi="Calibri Light"/>
          <w:b/>
          <w:i w:val="0"/>
          <w:iCs w:val="0"/>
          <w:sz w:val="20"/>
          <w:szCs w:val="20"/>
        </w:rPr>
        <w:t>Arme</w:t>
      </w:r>
      <w:r w:rsidR="00121461" w:rsidRPr="00955DA0">
        <w:rPr>
          <w:rStyle w:val="Emphasis"/>
          <w:rFonts w:ascii="Calibri Light" w:hAnsi="Calibri Light"/>
          <w:b/>
          <w:i w:val="0"/>
          <w:iCs w:val="0"/>
          <w:sz w:val="20"/>
          <w:szCs w:val="20"/>
        </w:rPr>
        <w:t xml:space="preserve"> zu erreichen – doch der Ausbau ist schleichend</w:t>
      </w:r>
    </w:p>
    <w:p w14:paraId="4E529CF1" w14:textId="203DB5CF" w:rsidR="00121461" w:rsidRPr="00955DA0" w:rsidRDefault="006E74A5" w:rsidP="00457839">
      <w:pPr>
        <w:pStyle w:val="NormalWeb"/>
        <w:spacing w:after="0"/>
        <w:jc w:val="center"/>
        <w:rPr>
          <w:rFonts w:ascii="Calibri Light" w:hAnsi="Calibri Light"/>
          <w:sz w:val="20"/>
          <w:szCs w:val="20"/>
        </w:rPr>
      </w:pPr>
      <w:r w:rsidRPr="00955DA0">
        <w:rPr>
          <w:rStyle w:val="Emphasis"/>
          <w:rFonts w:ascii="Calibri Light" w:hAnsi="Calibri Light"/>
          <w:i w:val="0"/>
          <w:iCs w:val="0"/>
          <w:sz w:val="20"/>
          <w:szCs w:val="20"/>
        </w:rPr>
        <w:t xml:space="preserve">Ergebnis </w:t>
      </w:r>
      <w:r w:rsidR="00AD529F" w:rsidRPr="00955DA0">
        <w:rPr>
          <w:rStyle w:val="Emphasis"/>
          <w:rFonts w:ascii="Calibri Light" w:hAnsi="Calibri Light"/>
          <w:i w:val="0"/>
          <w:iCs w:val="0"/>
          <w:sz w:val="20"/>
          <w:szCs w:val="20"/>
        </w:rPr>
        <w:t xml:space="preserve">deutscher Unternehmen gemischt: </w:t>
      </w:r>
      <w:r w:rsidR="00121461" w:rsidRPr="00955DA0">
        <w:rPr>
          <w:rStyle w:val="Emphasis"/>
          <w:rFonts w:ascii="Calibri Light" w:hAnsi="Calibri Light"/>
          <w:i w:val="0"/>
          <w:iCs w:val="0"/>
          <w:sz w:val="20"/>
          <w:szCs w:val="20"/>
        </w:rPr>
        <w:t>Merck KGaA steigt in die Top-Gruppe auf, Bayer und Boeh</w:t>
      </w:r>
      <w:r w:rsidR="00AD529F" w:rsidRPr="00955DA0">
        <w:rPr>
          <w:rStyle w:val="Emphasis"/>
          <w:rFonts w:ascii="Calibri Light" w:hAnsi="Calibri Light"/>
          <w:i w:val="0"/>
          <w:iCs w:val="0"/>
          <w:sz w:val="20"/>
          <w:szCs w:val="20"/>
        </w:rPr>
        <w:t xml:space="preserve">ringer-Ingelheim </w:t>
      </w:r>
      <w:r w:rsidR="00DF10C9" w:rsidRPr="00955DA0">
        <w:rPr>
          <w:rStyle w:val="Emphasis"/>
          <w:rFonts w:ascii="Calibri Light" w:hAnsi="Calibri Light"/>
          <w:i w:val="0"/>
          <w:iCs w:val="0"/>
          <w:sz w:val="20"/>
          <w:szCs w:val="20"/>
        </w:rPr>
        <w:t>fallen im Ranking zurück</w:t>
      </w:r>
    </w:p>
    <w:p w14:paraId="525B9AB3" w14:textId="4DC6B76A" w:rsidR="00121461" w:rsidRPr="00955DA0" w:rsidRDefault="00121461" w:rsidP="00121461">
      <w:pPr>
        <w:pStyle w:val="NormalWeb"/>
        <w:spacing w:after="0"/>
        <w:rPr>
          <w:rFonts w:ascii="Calibri Light" w:hAnsi="Calibri Light"/>
          <w:sz w:val="20"/>
          <w:szCs w:val="20"/>
        </w:rPr>
      </w:pPr>
      <w:r w:rsidRPr="00955DA0">
        <w:rPr>
          <w:rFonts w:ascii="Calibri Light" w:hAnsi="Calibri Light"/>
          <w:b/>
          <w:sz w:val="20"/>
          <w:szCs w:val="20"/>
        </w:rPr>
        <w:t>Amsterdam, Niederlande, 14. November 2016</w:t>
      </w:r>
      <w:r w:rsidR="00955DA0" w:rsidRPr="00955DA0">
        <w:rPr>
          <w:rFonts w:ascii="Calibri Light" w:hAnsi="Calibri Light"/>
          <w:sz w:val="20"/>
          <w:szCs w:val="20"/>
        </w:rPr>
        <w:t xml:space="preserve"> -</w:t>
      </w:r>
      <w:r w:rsidRPr="00955DA0">
        <w:rPr>
          <w:rFonts w:ascii="Calibri Light" w:hAnsi="Calibri Light"/>
          <w:sz w:val="20"/>
          <w:szCs w:val="20"/>
        </w:rPr>
        <w:t xml:space="preserve"> Pharmazeutische Unternehmen werden immer besser darin, ihre Produkte armen Menschen zur Verfügung zu stellen und globale Gesundheitsprobleme anzugehen. Trotzdem beschränken sich die bewährten Verfahren auf wenige Produkte und Länder. Die Chance, diese Anstrengungen zu bündeln und auszubauen, wurde bisher noch nicht genutzt. </w:t>
      </w:r>
    </w:p>
    <w:p w14:paraId="1F4A9401" w14:textId="7FF72571" w:rsidR="0028035B"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 xml:space="preserve">Der am Montag veröffentlichte </w:t>
      </w:r>
      <w:r w:rsidR="00ED15E6" w:rsidRPr="00955DA0">
        <w:rPr>
          <w:rFonts w:ascii="Calibri Light" w:hAnsi="Calibri Light"/>
          <w:sz w:val="20"/>
          <w:szCs w:val="20"/>
        </w:rPr>
        <w:t xml:space="preserve">Access </w:t>
      </w:r>
      <w:proofErr w:type="spellStart"/>
      <w:r w:rsidR="00ED15E6" w:rsidRPr="00955DA0">
        <w:rPr>
          <w:rFonts w:ascii="Calibri Light" w:hAnsi="Calibri Light"/>
          <w:sz w:val="20"/>
          <w:szCs w:val="20"/>
        </w:rPr>
        <w:t>to</w:t>
      </w:r>
      <w:proofErr w:type="spellEnd"/>
      <w:r w:rsidR="00ED15E6" w:rsidRPr="00955DA0">
        <w:rPr>
          <w:rFonts w:ascii="Calibri Light" w:hAnsi="Calibri Light"/>
          <w:sz w:val="20"/>
          <w:szCs w:val="20"/>
        </w:rPr>
        <w:t xml:space="preserve"> </w:t>
      </w:r>
      <w:proofErr w:type="spellStart"/>
      <w:r w:rsidR="00ED15E6" w:rsidRPr="00955DA0">
        <w:rPr>
          <w:rFonts w:ascii="Calibri Light" w:hAnsi="Calibri Light"/>
          <w:sz w:val="20"/>
          <w:szCs w:val="20"/>
        </w:rPr>
        <w:t>Medicine</w:t>
      </w:r>
      <w:proofErr w:type="spellEnd"/>
      <w:r w:rsidR="00ED15E6" w:rsidRPr="00955DA0">
        <w:rPr>
          <w:rFonts w:ascii="Calibri Light" w:hAnsi="Calibri Light"/>
          <w:sz w:val="20"/>
          <w:szCs w:val="20"/>
        </w:rPr>
        <w:t xml:space="preserve"> Index 2016</w:t>
      </w:r>
      <w:r w:rsidR="003B0A5E" w:rsidRPr="00955DA0">
        <w:rPr>
          <w:rFonts w:ascii="Calibri Light" w:hAnsi="Calibri Light"/>
          <w:sz w:val="20"/>
          <w:szCs w:val="20"/>
        </w:rPr>
        <w:t xml:space="preserve"> </w:t>
      </w:r>
      <w:r w:rsidRPr="00955DA0">
        <w:rPr>
          <w:rFonts w:ascii="Calibri Light" w:hAnsi="Calibri Light"/>
          <w:sz w:val="20"/>
          <w:szCs w:val="20"/>
        </w:rPr>
        <w:t xml:space="preserve">bewertet, wie die 20 führenden </w:t>
      </w:r>
      <w:r w:rsidR="00601681" w:rsidRPr="00955DA0">
        <w:rPr>
          <w:rFonts w:ascii="Calibri Light" w:hAnsi="Calibri Light"/>
          <w:sz w:val="20"/>
          <w:szCs w:val="20"/>
        </w:rPr>
        <w:t>Pharmaunternehmen</w:t>
      </w:r>
      <w:r w:rsidRPr="00955DA0">
        <w:rPr>
          <w:rFonts w:ascii="Calibri Light" w:hAnsi="Calibri Light"/>
          <w:sz w:val="20"/>
          <w:szCs w:val="20"/>
        </w:rPr>
        <w:t xml:space="preserve"> den Zugang zur medizinischen Versorgung in Entwicklungsländern verbessern. </w:t>
      </w:r>
      <w:r w:rsidR="0028035B" w:rsidRPr="00955DA0">
        <w:rPr>
          <w:rFonts w:ascii="Calibri Light" w:hAnsi="Calibri Light"/>
          <w:sz w:val="20"/>
          <w:szCs w:val="20"/>
        </w:rPr>
        <w:t xml:space="preserve">GlaxoSmithKline, das zum bereits fünften Mal den ersten Platz belegt, schafft es am besten, seine Access-Aktivitäten auf die besonderen Bedürfnisse </w:t>
      </w:r>
      <w:r w:rsidR="007728A9" w:rsidRPr="00955DA0">
        <w:rPr>
          <w:rFonts w:ascii="Calibri Light" w:hAnsi="Calibri Light"/>
          <w:sz w:val="20"/>
          <w:szCs w:val="20"/>
        </w:rPr>
        <w:t xml:space="preserve">der Gesundheitsagenda </w:t>
      </w:r>
      <w:r w:rsidR="0028035B" w:rsidRPr="00955DA0">
        <w:rPr>
          <w:rFonts w:ascii="Calibri Light" w:hAnsi="Calibri Light"/>
          <w:sz w:val="20"/>
          <w:szCs w:val="20"/>
        </w:rPr>
        <w:t>abzustimmen.</w:t>
      </w:r>
      <w:r w:rsidR="007728A9" w:rsidRPr="00955DA0">
        <w:rPr>
          <w:rFonts w:ascii="Calibri Light" w:hAnsi="Calibri Light"/>
          <w:sz w:val="20"/>
          <w:szCs w:val="20"/>
        </w:rPr>
        <w:tab/>
      </w:r>
      <w:r w:rsidR="007728A9" w:rsidRPr="00955DA0">
        <w:rPr>
          <w:rFonts w:ascii="Calibri Light" w:hAnsi="Calibri Light"/>
          <w:sz w:val="20"/>
          <w:szCs w:val="20"/>
        </w:rPr>
        <w:tab/>
      </w:r>
      <w:r w:rsidR="007728A9" w:rsidRPr="00955DA0">
        <w:rPr>
          <w:rFonts w:ascii="Calibri Light" w:hAnsi="Calibri Light"/>
          <w:sz w:val="20"/>
          <w:szCs w:val="20"/>
        </w:rPr>
        <w:tab/>
      </w:r>
    </w:p>
    <w:p w14:paraId="0B1CAF13" w14:textId="77777777" w:rsidR="00ED15E6"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 xml:space="preserve">Auf GSK folgen dicht hintereinander Johnson &amp; </w:t>
      </w:r>
      <w:proofErr w:type="spellStart"/>
      <w:r w:rsidRPr="00955DA0">
        <w:rPr>
          <w:rFonts w:ascii="Calibri Light" w:hAnsi="Calibri Light"/>
          <w:sz w:val="20"/>
          <w:szCs w:val="20"/>
        </w:rPr>
        <w:t>Johnson</w:t>
      </w:r>
      <w:proofErr w:type="spellEnd"/>
      <w:r w:rsidRPr="00955DA0">
        <w:rPr>
          <w:rFonts w:ascii="Calibri Light" w:hAnsi="Calibri Light"/>
          <w:sz w:val="20"/>
          <w:szCs w:val="20"/>
        </w:rPr>
        <w:t>, Novartis und Merck KGaA. Die Pharmaindustrie ist sehr vielfältig, was sich auch darin widerspiegelt, wie die Unternehmen den Zugang zur medizinischen Versorgung angehen. Trotzdem teilen die vier Unternehmen in der Spitzengruppe einige besondere Merkmale. Sie haben die am besten entwickelten Access-Programme mit gut organisierten Access-Strategien, die die Geschäftsentwicklung in den Schwellenländern unterstützen, in denen der Bedarf am Zugang zur medizinischen Versorgung hoch ist. Diese Unte</w:t>
      </w:r>
      <w:r w:rsidR="00F66DA1" w:rsidRPr="00955DA0">
        <w:rPr>
          <w:rFonts w:ascii="Calibri Light" w:hAnsi="Calibri Light"/>
          <w:sz w:val="20"/>
          <w:szCs w:val="20"/>
        </w:rPr>
        <w:t>rnehmen haben zudem gezeigt</w:t>
      </w:r>
      <w:r w:rsidRPr="00955DA0">
        <w:rPr>
          <w:rFonts w:ascii="Calibri Light" w:hAnsi="Calibri Light"/>
          <w:sz w:val="20"/>
          <w:szCs w:val="20"/>
        </w:rPr>
        <w:t xml:space="preserve">, dass sie unabhängig festgelegte Bedürfnisse mit hoher Priorität angehen können. </w:t>
      </w:r>
    </w:p>
    <w:p w14:paraId="33D5ED45" w14:textId="5AD5B4B9" w:rsidR="0038529B" w:rsidRPr="00955DA0" w:rsidRDefault="007728A9" w:rsidP="00121461">
      <w:pPr>
        <w:pStyle w:val="NormalWeb"/>
        <w:spacing w:after="0"/>
        <w:rPr>
          <w:rFonts w:ascii="Calibri Light" w:hAnsi="Calibri Light"/>
          <w:sz w:val="20"/>
          <w:szCs w:val="20"/>
        </w:rPr>
      </w:pPr>
      <w:r w:rsidRPr="00955DA0">
        <w:rPr>
          <w:rStyle w:val="Emphasis"/>
          <w:rFonts w:ascii="Calibri Light" w:hAnsi="Calibri Light"/>
          <w:b/>
          <w:i w:val="0"/>
          <w:iCs w:val="0"/>
          <w:sz w:val="20"/>
          <w:szCs w:val="20"/>
        </w:rPr>
        <w:t>Ergebnis</w:t>
      </w:r>
      <w:r w:rsidR="00457839" w:rsidRPr="00955DA0">
        <w:rPr>
          <w:rStyle w:val="Emphasis"/>
          <w:rFonts w:ascii="Calibri Light" w:hAnsi="Calibri Light"/>
          <w:b/>
          <w:i w:val="0"/>
          <w:iCs w:val="0"/>
          <w:sz w:val="20"/>
          <w:szCs w:val="20"/>
        </w:rPr>
        <w:t xml:space="preserve"> deutscher </w:t>
      </w:r>
      <w:r w:rsidR="00955DA0" w:rsidRPr="00955DA0">
        <w:rPr>
          <w:rStyle w:val="Emphasis"/>
          <w:rFonts w:ascii="Calibri Light" w:hAnsi="Calibri Light"/>
          <w:b/>
          <w:i w:val="0"/>
          <w:iCs w:val="0"/>
          <w:sz w:val="20"/>
          <w:szCs w:val="20"/>
        </w:rPr>
        <w:t>Pharmaunternehmen</w:t>
      </w:r>
      <w:r w:rsidR="00C0340B" w:rsidRPr="00955DA0">
        <w:rPr>
          <w:rStyle w:val="Emphasis"/>
          <w:rFonts w:ascii="Calibri Light" w:hAnsi="Calibri Light"/>
          <w:b/>
          <w:i w:val="0"/>
          <w:iCs w:val="0"/>
          <w:sz w:val="20"/>
          <w:szCs w:val="20"/>
        </w:rPr>
        <w:t xml:space="preserve"> gemischt</w:t>
      </w:r>
      <w:r w:rsidRPr="00955DA0">
        <w:rPr>
          <w:rFonts w:ascii="Calibri Light" w:hAnsi="Calibri Light"/>
          <w:sz w:val="20"/>
          <w:szCs w:val="20"/>
        </w:rPr>
        <w:br/>
      </w:r>
      <w:r w:rsidR="00121461" w:rsidRPr="00955DA0">
        <w:rPr>
          <w:rFonts w:ascii="Calibri Light" w:hAnsi="Calibri Light"/>
          <w:sz w:val="20"/>
          <w:szCs w:val="20"/>
        </w:rPr>
        <w:t xml:space="preserve">Was deutsche </w:t>
      </w:r>
      <w:r w:rsidR="00601681" w:rsidRPr="00955DA0">
        <w:rPr>
          <w:rFonts w:ascii="Calibri Light" w:hAnsi="Calibri Light"/>
          <w:sz w:val="20"/>
          <w:szCs w:val="20"/>
        </w:rPr>
        <w:t>Pharmaunternehmen</w:t>
      </w:r>
      <w:r w:rsidR="00705813" w:rsidRPr="00955DA0">
        <w:rPr>
          <w:rFonts w:ascii="Calibri Light" w:hAnsi="Calibri Light"/>
          <w:sz w:val="20"/>
          <w:szCs w:val="20"/>
        </w:rPr>
        <w:t xml:space="preserve"> angeht, so </w:t>
      </w:r>
      <w:r w:rsidRPr="00955DA0">
        <w:rPr>
          <w:rFonts w:ascii="Calibri Light" w:hAnsi="Calibri Light"/>
          <w:sz w:val="20"/>
          <w:szCs w:val="20"/>
        </w:rPr>
        <w:t xml:space="preserve">ist </w:t>
      </w:r>
      <w:r w:rsidR="00FD419B" w:rsidRPr="00955DA0">
        <w:rPr>
          <w:rFonts w:ascii="Calibri Light" w:hAnsi="Calibri Light"/>
          <w:sz w:val="20"/>
          <w:szCs w:val="20"/>
        </w:rPr>
        <w:t xml:space="preserve">das </w:t>
      </w:r>
      <w:r w:rsidR="00705813" w:rsidRPr="00955DA0">
        <w:rPr>
          <w:rFonts w:ascii="Calibri Light" w:hAnsi="Calibri Light"/>
          <w:sz w:val="20"/>
          <w:szCs w:val="20"/>
        </w:rPr>
        <w:t>Ergebnis</w:t>
      </w:r>
      <w:r w:rsidR="003A3C4F" w:rsidRPr="00955DA0">
        <w:rPr>
          <w:rFonts w:ascii="Calibri Light" w:hAnsi="Calibri Light"/>
          <w:sz w:val="20"/>
          <w:szCs w:val="20"/>
        </w:rPr>
        <w:t xml:space="preserve"> gemischt. </w:t>
      </w:r>
      <w:r w:rsidR="009F333F" w:rsidRPr="00955DA0">
        <w:rPr>
          <w:rFonts w:ascii="Calibri Light" w:hAnsi="Calibri Light"/>
          <w:sz w:val="20"/>
          <w:szCs w:val="20"/>
        </w:rPr>
        <w:t xml:space="preserve">Merck KGaA </w:t>
      </w:r>
      <w:r w:rsidR="003A3C4F" w:rsidRPr="00955DA0">
        <w:rPr>
          <w:rFonts w:ascii="Calibri Light" w:hAnsi="Calibri Light"/>
          <w:sz w:val="20"/>
          <w:szCs w:val="20"/>
        </w:rPr>
        <w:t xml:space="preserve">befindet </w:t>
      </w:r>
      <w:r w:rsidR="009F333F" w:rsidRPr="00955DA0">
        <w:rPr>
          <w:rFonts w:ascii="Calibri Light" w:hAnsi="Calibri Light"/>
          <w:sz w:val="20"/>
          <w:szCs w:val="20"/>
        </w:rPr>
        <w:t xml:space="preserve">sich in der obersten </w:t>
      </w:r>
      <w:r w:rsidR="003A3C4F" w:rsidRPr="00955DA0">
        <w:rPr>
          <w:rFonts w:ascii="Calibri Light" w:hAnsi="Calibri Light"/>
          <w:sz w:val="20"/>
          <w:szCs w:val="20"/>
        </w:rPr>
        <w:t>Gruppe und ist</w:t>
      </w:r>
      <w:r w:rsidR="002B35DB" w:rsidRPr="00955DA0">
        <w:rPr>
          <w:rFonts w:ascii="Calibri Light" w:hAnsi="Calibri Light"/>
          <w:sz w:val="20"/>
          <w:szCs w:val="20"/>
        </w:rPr>
        <w:t xml:space="preserve"> </w:t>
      </w:r>
      <w:r w:rsidR="0038529B" w:rsidRPr="00955DA0">
        <w:rPr>
          <w:rFonts w:ascii="Calibri Light" w:hAnsi="Calibri Light"/>
          <w:sz w:val="20"/>
          <w:szCs w:val="20"/>
        </w:rPr>
        <w:t>Vierter</w:t>
      </w:r>
      <w:r w:rsidR="00705813" w:rsidRPr="00955DA0">
        <w:rPr>
          <w:rFonts w:ascii="Calibri Light" w:hAnsi="Calibri Light"/>
          <w:sz w:val="20"/>
          <w:szCs w:val="20"/>
        </w:rPr>
        <w:t>.</w:t>
      </w:r>
      <w:r w:rsidR="00121461" w:rsidRPr="00955DA0">
        <w:rPr>
          <w:rFonts w:ascii="Calibri Light" w:hAnsi="Calibri Light"/>
          <w:sz w:val="20"/>
          <w:szCs w:val="20"/>
        </w:rPr>
        <w:t xml:space="preserve"> </w:t>
      </w:r>
      <w:r w:rsidR="00FD419B" w:rsidRPr="00955DA0">
        <w:rPr>
          <w:rFonts w:ascii="Calibri Light" w:hAnsi="Calibri Light"/>
          <w:sz w:val="20"/>
          <w:szCs w:val="20"/>
        </w:rPr>
        <w:t xml:space="preserve">Merck KGaA hat </w:t>
      </w:r>
      <w:r w:rsidR="00705813" w:rsidRPr="00955DA0">
        <w:rPr>
          <w:rFonts w:ascii="Calibri Light" w:hAnsi="Calibri Light"/>
          <w:sz w:val="20"/>
          <w:szCs w:val="20"/>
        </w:rPr>
        <w:t xml:space="preserve">deutliche </w:t>
      </w:r>
      <w:r w:rsidR="00FD419B" w:rsidRPr="00955DA0">
        <w:rPr>
          <w:rFonts w:ascii="Calibri Light" w:hAnsi="Calibri Light"/>
          <w:sz w:val="20"/>
          <w:szCs w:val="20"/>
        </w:rPr>
        <w:t xml:space="preserve">Stärken </w:t>
      </w:r>
      <w:r w:rsidR="0038529B" w:rsidRPr="00955DA0">
        <w:rPr>
          <w:rFonts w:ascii="Calibri Light" w:hAnsi="Calibri Light"/>
          <w:sz w:val="20"/>
          <w:szCs w:val="20"/>
        </w:rPr>
        <w:t>im Ausbau von R&amp;D- und</w:t>
      </w:r>
      <w:r w:rsidR="00FD419B" w:rsidRPr="00955DA0">
        <w:rPr>
          <w:rFonts w:ascii="Calibri Light" w:hAnsi="Calibri Light"/>
          <w:sz w:val="20"/>
          <w:szCs w:val="20"/>
        </w:rPr>
        <w:t xml:space="preserve"> </w:t>
      </w:r>
      <w:r w:rsidR="0038529B" w:rsidRPr="00955DA0">
        <w:rPr>
          <w:rFonts w:ascii="Calibri Light" w:hAnsi="Calibri Light"/>
          <w:sz w:val="20"/>
          <w:szCs w:val="20"/>
        </w:rPr>
        <w:t>Herstellungskapazitäten. In Zusammenarbeit mit der Universität</w:t>
      </w:r>
      <w:r w:rsidR="00FD419B" w:rsidRPr="00955DA0">
        <w:rPr>
          <w:rFonts w:ascii="Calibri Light" w:hAnsi="Calibri Light"/>
          <w:sz w:val="20"/>
          <w:szCs w:val="20"/>
        </w:rPr>
        <w:t xml:space="preserve"> von Namibia</w:t>
      </w:r>
      <w:r w:rsidR="0038529B" w:rsidRPr="00955DA0">
        <w:rPr>
          <w:rFonts w:ascii="Calibri Light" w:hAnsi="Calibri Light"/>
          <w:sz w:val="20"/>
          <w:szCs w:val="20"/>
        </w:rPr>
        <w:t xml:space="preserve"> und mit Unterstützung des </w:t>
      </w:r>
      <w:r w:rsidR="00705813" w:rsidRPr="00955DA0">
        <w:rPr>
          <w:rFonts w:ascii="Calibri Light" w:hAnsi="Calibri Light"/>
          <w:sz w:val="20"/>
          <w:szCs w:val="20"/>
        </w:rPr>
        <w:t xml:space="preserve">dortigen </w:t>
      </w:r>
      <w:r w:rsidR="0038529B" w:rsidRPr="00955DA0">
        <w:rPr>
          <w:rFonts w:ascii="Calibri Light" w:hAnsi="Calibri Light"/>
          <w:sz w:val="20"/>
          <w:szCs w:val="20"/>
        </w:rPr>
        <w:t>nationalen</w:t>
      </w:r>
      <w:r w:rsidR="00FD419B" w:rsidRPr="00955DA0">
        <w:rPr>
          <w:rFonts w:ascii="Calibri Light" w:hAnsi="Calibri Light"/>
          <w:sz w:val="20"/>
          <w:szCs w:val="20"/>
        </w:rPr>
        <w:t xml:space="preserve"> Programms zur </w:t>
      </w:r>
      <w:r w:rsidR="00705813" w:rsidRPr="00955DA0">
        <w:rPr>
          <w:rFonts w:ascii="Calibri Light" w:hAnsi="Calibri Light"/>
          <w:sz w:val="20"/>
          <w:szCs w:val="20"/>
        </w:rPr>
        <w:t>Malariab</w:t>
      </w:r>
      <w:r w:rsidR="00FD419B" w:rsidRPr="00955DA0">
        <w:rPr>
          <w:rFonts w:ascii="Calibri Light" w:hAnsi="Calibri Light"/>
          <w:sz w:val="20"/>
          <w:szCs w:val="20"/>
        </w:rPr>
        <w:t>ekämpfung,</w:t>
      </w:r>
      <w:r w:rsidR="0038529B" w:rsidRPr="00955DA0">
        <w:rPr>
          <w:rFonts w:ascii="Calibri Light" w:hAnsi="Calibri Light"/>
          <w:sz w:val="20"/>
          <w:szCs w:val="20"/>
        </w:rPr>
        <w:t xml:space="preserve"> forscht Merck </w:t>
      </w:r>
      <w:r w:rsidR="009B3E1E" w:rsidRPr="00955DA0">
        <w:rPr>
          <w:rFonts w:ascii="Calibri Light" w:hAnsi="Calibri Light"/>
          <w:sz w:val="20"/>
          <w:szCs w:val="20"/>
        </w:rPr>
        <w:t>an Malaria</w:t>
      </w:r>
      <w:r w:rsidR="00FD419B" w:rsidRPr="00955DA0">
        <w:rPr>
          <w:rFonts w:ascii="Calibri Light" w:hAnsi="Calibri Light"/>
          <w:sz w:val="20"/>
          <w:szCs w:val="20"/>
        </w:rPr>
        <w:t xml:space="preserve"> im</w:t>
      </w:r>
      <w:r w:rsidR="009B3E1E" w:rsidRPr="00955DA0">
        <w:rPr>
          <w:rFonts w:ascii="Calibri Light" w:hAnsi="Calibri Light"/>
          <w:sz w:val="20"/>
          <w:szCs w:val="20"/>
        </w:rPr>
        <w:t xml:space="preserve"> </w:t>
      </w:r>
      <w:r w:rsidR="00705813" w:rsidRPr="00955DA0">
        <w:rPr>
          <w:rFonts w:ascii="Calibri Light" w:hAnsi="Calibri Light"/>
          <w:sz w:val="20"/>
          <w:szCs w:val="20"/>
        </w:rPr>
        <w:t>s</w:t>
      </w:r>
      <w:r w:rsidR="00FD419B" w:rsidRPr="00955DA0">
        <w:rPr>
          <w:rFonts w:ascii="Calibri Light" w:hAnsi="Calibri Light"/>
          <w:sz w:val="20"/>
          <w:szCs w:val="20"/>
        </w:rPr>
        <w:t>üdafrikanischen Raum</w:t>
      </w:r>
      <w:r w:rsidR="009B3E1E" w:rsidRPr="00955DA0">
        <w:rPr>
          <w:rFonts w:ascii="Calibri Light" w:hAnsi="Calibri Light"/>
          <w:sz w:val="20"/>
          <w:szCs w:val="20"/>
        </w:rPr>
        <w:t>.</w:t>
      </w:r>
    </w:p>
    <w:p w14:paraId="39805889" w14:textId="064657A4" w:rsidR="00121461" w:rsidRPr="00955DA0" w:rsidRDefault="000D7F64" w:rsidP="00121461">
      <w:pPr>
        <w:pStyle w:val="NormalWeb"/>
        <w:spacing w:after="0"/>
        <w:rPr>
          <w:rFonts w:ascii="Calibri Light" w:hAnsi="Calibri Light"/>
          <w:sz w:val="20"/>
          <w:szCs w:val="20"/>
        </w:rPr>
      </w:pPr>
      <w:r w:rsidRPr="00955DA0">
        <w:rPr>
          <w:rFonts w:ascii="Calibri Light" w:hAnsi="Calibri Light"/>
          <w:sz w:val="20"/>
          <w:szCs w:val="20"/>
        </w:rPr>
        <w:t xml:space="preserve">Aber </w:t>
      </w:r>
      <w:r w:rsidR="00121461" w:rsidRPr="00955DA0">
        <w:rPr>
          <w:rFonts w:ascii="Calibri Light" w:hAnsi="Calibri Light"/>
          <w:sz w:val="20"/>
          <w:szCs w:val="20"/>
        </w:rPr>
        <w:t xml:space="preserve">sowohl Bayer als auch Boehringer-Ingelheim </w:t>
      </w:r>
      <w:r w:rsidRPr="00955DA0">
        <w:rPr>
          <w:rFonts w:ascii="Calibri Light" w:hAnsi="Calibri Light"/>
          <w:sz w:val="20"/>
          <w:szCs w:val="20"/>
        </w:rPr>
        <w:t xml:space="preserve">haben </w:t>
      </w:r>
      <w:r w:rsidR="00121461" w:rsidRPr="00955DA0">
        <w:rPr>
          <w:rFonts w:ascii="Calibri Light" w:hAnsi="Calibri Light"/>
          <w:sz w:val="20"/>
          <w:szCs w:val="20"/>
        </w:rPr>
        <w:t xml:space="preserve">Plätze eingebüßt. Das liegt zum Teil daran, dass die anderen Unternehmen mehr tun. Bayer setzt sich </w:t>
      </w:r>
      <w:r w:rsidR="00755846" w:rsidRPr="00955DA0">
        <w:rPr>
          <w:rFonts w:ascii="Calibri Light" w:hAnsi="Calibri Light"/>
          <w:sz w:val="20"/>
          <w:szCs w:val="20"/>
        </w:rPr>
        <w:t>zwar</w:t>
      </w:r>
      <w:r w:rsidR="00121461" w:rsidRPr="00955DA0">
        <w:rPr>
          <w:rFonts w:ascii="Calibri Light" w:hAnsi="Calibri Light"/>
          <w:sz w:val="20"/>
          <w:szCs w:val="20"/>
        </w:rPr>
        <w:t xml:space="preserve"> besonders für vernach</w:t>
      </w:r>
      <w:r w:rsidR="00DF10C9" w:rsidRPr="00955DA0">
        <w:rPr>
          <w:rFonts w:ascii="Calibri Light" w:hAnsi="Calibri Light"/>
          <w:sz w:val="20"/>
          <w:szCs w:val="20"/>
        </w:rPr>
        <w:t>lässigte tropische Krankheiten</w:t>
      </w:r>
      <w:r w:rsidR="007728A9" w:rsidRPr="00955DA0">
        <w:rPr>
          <w:rFonts w:ascii="Calibri Light" w:hAnsi="Calibri Light"/>
          <w:sz w:val="20"/>
          <w:szCs w:val="20"/>
        </w:rPr>
        <w:t xml:space="preserve"> und für Familienplanung ein</w:t>
      </w:r>
      <w:r w:rsidR="00DF10C9" w:rsidRPr="00955DA0">
        <w:rPr>
          <w:rFonts w:ascii="Calibri Light" w:hAnsi="Calibri Light"/>
          <w:sz w:val="20"/>
          <w:szCs w:val="20"/>
        </w:rPr>
        <w:t>, ist aber</w:t>
      </w:r>
      <w:r w:rsidR="009C4716" w:rsidRPr="00955DA0">
        <w:rPr>
          <w:rFonts w:ascii="Calibri Light" w:hAnsi="Calibri Light"/>
          <w:sz w:val="20"/>
          <w:szCs w:val="20"/>
        </w:rPr>
        <w:t xml:space="preserve"> dafür </w:t>
      </w:r>
      <w:r w:rsidR="00DF10C9" w:rsidRPr="00955DA0">
        <w:rPr>
          <w:rFonts w:ascii="Calibri Light" w:hAnsi="Calibri Light"/>
          <w:sz w:val="20"/>
          <w:szCs w:val="20"/>
        </w:rPr>
        <w:t xml:space="preserve">in </w:t>
      </w:r>
      <w:r w:rsidR="009C4716" w:rsidRPr="00955DA0">
        <w:rPr>
          <w:rFonts w:ascii="Calibri Light" w:hAnsi="Calibri Light"/>
          <w:sz w:val="20"/>
          <w:szCs w:val="20"/>
        </w:rPr>
        <w:t>andere</w:t>
      </w:r>
      <w:r w:rsidR="00DF10C9" w:rsidRPr="00955DA0">
        <w:rPr>
          <w:rFonts w:ascii="Calibri Light" w:hAnsi="Calibri Light"/>
          <w:sz w:val="20"/>
          <w:szCs w:val="20"/>
        </w:rPr>
        <w:t>n</w:t>
      </w:r>
      <w:r w:rsidR="009C4716" w:rsidRPr="00955DA0">
        <w:rPr>
          <w:rFonts w:ascii="Calibri Light" w:hAnsi="Calibri Light"/>
          <w:sz w:val="20"/>
          <w:szCs w:val="20"/>
        </w:rPr>
        <w:t xml:space="preserve"> Bereich</w:t>
      </w:r>
      <w:r w:rsidR="00DF10C9" w:rsidRPr="00955DA0">
        <w:rPr>
          <w:rFonts w:ascii="Calibri Light" w:hAnsi="Calibri Light"/>
          <w:sz w:val="20"/>
          <w:szCs w:val="20"/>
        </w:rPr>
        <w:t xml:space="preserve">en weniger aktiv. </w:t>
      </w:r>
      <w:r w:rsidR="009C4716" w:rsidRPr="00955DA0">
        <w:rPr>
          <w:rFonts w:ascii="Calibri Light" w:hAnsi="Calibri Light"/>
          <w:sz w:val="20"/>
          <w:szCs w:val="20"/>
        </w:rPr>
        <w:t>Boehringer-Ingelheim is</w:t>
      </w:r>
      <w:r w:rsidR="00DF10C9" w:rsidRPr="00955DA0">
        <w:rPr>
          <w:rFonts w:ascii="Calibri Light" w:hAnsi="Calibri Light"/>
          <w:sz w:val="20"/>
          <w:szCs w:val="20"/>
        </w:rPr>
        <w:t>t</w:t>
      </w:r>
      <w:r w:rsidR="009C4716" w:rsidRPr="00955DA0">
        <w:rPr>
          <w:rFonts w:ascii="Calibri Light" w:hAnsi="Calibri Light"/>
          <w:sz w:val="20"/>
          <w:szCs w:val="20"/>
        </w:rPr>
        <w:t xml:space="preserve"> auf den 16. Platz zurückgefallen,</w:t>
      </w:r>
      <w:r w:rsidR="00DF10C9" w:rsidRPr="00955DA0">
        <w:rPr>
          <w:rFonts w:ascii="Calibri Light" w:hAnsi="Calibri Light"/>
          <w:sz w:val="20"/>
          <w:szCs w:val="20"/>
        </w:rPr>
        <w:t xml:space="preserve"> hat a</w:t>
      </w:r>
      <w:r w:rsidR="007F397C" w:rsidRPr="00955DA0">
        <w:rPr>
          <w:rFonts w:ascii="Calibri Light" w:hAnsi="Calibri Light"/>
          <w:sz w:val="20"/>
          <w:szCs w:val="20"/>
        </w:rPr>
        <w:t>ber die größte Projektpipeline (</w:t>
      </w:r>
      <w:r w:rsidR="00E913F0" w:rsidRPr="00955DA0">
        <w:rPr>
          <w:rFonts w:ascii="Calibri Light" w:hAnsi="Calibri Light"/>
          <w:sz w:val="20"/>
          <w:szCs w:val="20"/>
        </w:rPr>
        <w:t>52 Proj</w:t>
      </w:r>
      <w:r w:rsidR="00C0340B" w:rsidRPr="00955DA0">
        <w:rPr>
          <w:rFonts w:ascii="Calibri Light" w:hAnsi="Calibri Light"/>
          <w:sz w:val="20"/>
          <w:szCs w:val="20"/>
        </w:rPr>
        <w:t>ekte) gegen</w:t>
      </w:r>
      <w:r w:rsidR="00423E40" w:rsidRPr="00955DA0">
        <w:rPr>
          <w:rFonts w:ascii="Calibri Light" w:hAnsi="Calibri Light"/>
          <w:sz w:val="20"/>
          <w:szCs w:val="20"/>
        </w:rPr>
        <w:t xml:space="preserve"> die Bekämpfung von</w:t>
      </w:r>
      <w:r w:rsidR="00C0340B" w:rsidRPr="00955DA0">
        <w:rPr>
          <w:rFonts w:ascii="Calibri Light" w:hAnsi="Calibri Light"/>
          <w:sz w:val="20"/>
          <w:szCs w:val="20"/>
        </w:rPr>
        <w:t xml:space="preserve"> Krankheiten </w:t>
      </w:r>
      <w:r w:rsidR="00DF10C9" w:rsidRPr="00955DA0">
        <w:rPr>
          <w:rFonts w:ascii="Calibri Light" w:hAnsi="Calibri Light"/>
          <w:sz w:val="20"/>
          <w:szCs w:val="20"/>
        </w:rPr>
        <w:t xml:space="preserve">mit einem starken Fokus auf </w:t>
      </w:r>
      <w:r w:rsidR="008A5557" w:rsidRPr="00955DA0">
        <w:rPr>
          <w:rFonts w:ascii="Calibri Light" w:hAnsi="Calibri Light"/>
          <w:sz w:val="20"/>
          <w:szCs w:val="20"/>
        </w:rPr>
        <w:t>nicht-übertragbare Krankheiten</w:t>
      </w:r>
      <w:r w:rsidR="00423E40" w:rsidRPr="00955DA0">
        <w:rPr>
          <w:rFonts w:ascii="Calibri Light" w:hAnsi="Calibri Light"/>
          <w:sz w:val="20"/>
          <w:szCs w:val="20"/>
        </w:rPr>
        <w:t>.</w:t>
      </w:r>
    </w:p>
    <w:p w14:paraId="0BD15770" w14:textId="77777777" w:rsidR="00121461"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 xml:space="preserve">Der Index 2016 hat untersucht, inwieweit die Access-Tätigkeit eines Unternehmens bedarfsgerecht ist: Wo werden die Maßnahmen des Unternehmens auf die speziellen Prioritäten abgestimmt, die zum Beispiel von den </w:t>
      </w:r>
      <w:r w:rsidR="009F333F" w:rsidRPr="00955DA0">
        <w:rPr>
          <w:rFonts w:ascii="Calibri Light" w:hAnsi="Calibri Light"/>
          <w:sz w:val="20"/>
          <w:szCs w:val="20"/>
        </w:rPr>
        <w:t xml:space="preserve">jeweiligen </w:t>
      </w:r>
      <w:r w:rsidRPr="00955DA0">
        <w:rPr>
          <w:rFonts w:ascii="Calibri Light" w:hAnsi="Calibri Light"/>
          <w:sz w:val="20"/>
          <w:szCs w:val="20"/>
        </w:rPr>
        <w:t xml:space="preserve">Ländern, den weltweiten Gesundheitsorganisationen oder dem Index festgelegt werden. In diesem Bereich </w:t>
      </w:r>
      <w:r w:rsidR="009F333F" w:rsidRPr="00955DA0">
        <w:rPr>
          <w:rFonts w:ascii="Calibri Light" w:hAnsi="Calibri Light"/>
          <w:sz w:val="20"/>
          <w:szCs w:val="20"/>
        </w:rPr>
        <w:t>zeigt der</w:t>
      </w:r>
      <w:r w:rsidRPr="00955DA0">
        <w:rPr>
          <w:rFonts w:ascii="Calibri Light" w:hAnsi="Calibri Light"/>
          <w:sz w:val="20"/>
          <w:szCs w:val="20"/>
        </w:rPr>
        <w:t xml:space="preserve"> Index </w:t>
      </w:r>
      <w:r w:rsidR="009F333F" w:rsidRPr="00955DA0">
        <w:rPr>
          <w:rFonts w:ascii="Calibri Light" w:hAnsi="Calibri Light"/>
          <w:sz w:val="20"/>
          <w:szCs w:val="20"/>
        </w:rPr>
        <w:t xml:space="preserve">uneinheitliche Ergebnisse. </w:t>
      </w:r>
    </w:p>
    <w:p w14:paraId="15C61588" w14:textId="2C468580" w:rsidR="00121461" w:rsidRPr="00955DA0" w:rsidRDefault="00121461" w:rsidP="00121461">
      <w:pPr>
        <w:pStyle w:val="NormalWeb"/>
        <w:spacing w:after="0"/>
        <w:rPr>
          <w:rFonts w:ascii="Calibri Light" w:hAnsi="Calibri Light"/>
          <w:sz w:val="20"/>
          <w:szCs w:val="20"/>
        </w:rPr>
      </w:pPr>
      <w:r w:rsidRPr="00955DA0">
        <w:rPr>
          <w:rFonts w:ascii="Calibri Light" w:hAnsi="Calibri Light"/>
          <w:b/>
          <w:sz w:val="20"/>
          <w:szCs w:val="20"/>
        </w:rPr>
        <w:t xml:space="preserve">Gemeinschaftliche R&amp;D-Modelle ein großer Anreiz </w:t>
      </w:r>
      <w:bookmarkStart w:id="1" w:name="result_box"/>
      <w:bookmarkEnd w:id="1"/>
      <w:r w:rsidR="007728A9" w:rsidRPr="00955DA0">
        <w:rPr>
          <w:rFonts w:ascii="Calibri Light" w:hAnsi="Calibri Light"/>
          <w:b/>
          <w:sz w:val="20"/>
          <w:szCs w:val="20"/>
        </w:rPr>
        <w:br/>
      </w:r>
      <w:r w:rsidRPr="00955DA0">
        <w:rPr>
          <w:rFonts w:ascii="Calibri Light" w:hAnsi="Calibri Light"/>
          <w:sz w:val="20"/>
          <w:szCs w:val="20"/>
        </w:rPr>
        <w:t>Die Unternehmen haben 850 Produkte für die 51 schwersten Krankheiten in den Ländern mit niedrigem und mittlerem Einkommen auf dem Markt, 420 Produkte befinden sich in der Entwicklung. Das schließt mehr als 100 Produkte mit ein, die sich seit 2014 in der Pipeline befinden</w:t>
      </w:r>
      <w:r w:rsidR="00601681" w:rsidRPr="00955DA0">
        <w:rPr>
          <w:rFonts w:ascii="Calibri Light" w:hAnsi="Calibri Light"/>
          <w:sz w:val="20"/>
          <w:szCs w:val="20"/>
        </w:rPr>
        <w:t>,</w:t>
      </w:r>
      <w:r w:rsidRPr="00955DA0">
        <w:rPr>
          <w:rFonts w:ascii="Calibri Light" w:hAnsi="Calibri Light"/>
          <w:sz w:val="20"/>
          <w:szCs w:val="20"/>
        </w:rPr>
        <w:t xml:space="preserve"> und 151 Produkte, die k</w:t>
      </w:r>
      <w:r w:rsidR="00601681" w:rsidRPr="00955DA0">
        <w:rPr>
          <w:rFonts w:ascii="Calibri Light" w:hAnsi="Calibri Light"/>
          <w:sz w:val="20"/>
          <w:szCs w:val="20"/>
        </w:rPr>
        <w:t xml:space="preserve">ommerziell nicht attraktiv sind, </w:t>
      </w:r>
      <w:r w:rsidRPr="00955DA0">
        <w:rPr>
          <w:rFonts w:ascii="Calibri Light" w:hAnsi="Calibri Light"/>
          <w:sz w:val="20"/>
          <w:szCs w:val="20"/>
        </w:rPr>
        <w:t xml:space="preserve">aber gerade von den Armen dringend benötigt werden. </w:t>
      </w:r>
    </w:p>
    <w:p w14:paraId="6B34C5C4" w14:textId="77777777" w:rsidR="00121461"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 xml:space="preserve">Die Mehrheit (67 Prozent) der Forschungsprojekte, die Unternehmen für Produkte mit hoher Priorität bei gleichzeitig niedrigem wirtschaftlichen Anreiz haben, werden in Partnerschaften mit anderen Unternehmen betrieben. </w:t>
      </w:r>
    </w:p>
    <w:p w14:paraId="6293D55B" w14:textId="77777777" w:rsidR="00121461"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 xml:space="preserve">„Wir sehen Hinweise darauf, dass gemeinschaftliche R&amp;D-Modelle ein Anreiz für die Branche sind, dringend benötigte Medikamente zu entwickeln, die sie sonst </w:t>
      </w:r>
      <w:r w:rsidR="00597D7C" w:rsidRPr="00955DA0">
        <w:rPr>
          <w:rFonts w:ascii="Calibri Light" w:hAnsi="Calibri Light"/>
          <w:sz w:val="20"/>
          <w:szCs w:val="20"/>
        </w:rPr>
        <w:t xml:space="preserve">aus kommerziellen Gründen </w:t>
      </w:r>
      <w:r w:rsidRPr="00955DA0">
        <w:rPr>
          <w:rFonts w:ascii="Calibri Light" w:hAnsi="Calibri Light"/>
          <w:sz w:val="20"/>
          <w:szCs w:val="20"/>
        </w:rPr>
        <w:t>n</w:t>
      </w:r>
      <w:r w:rsidR="00597D7C" w:rsidRPr="00955DA0">
        <w:rPr>
          <w:rFonts w:ascii="Calibri Light" w:hAnsi="Calibri Light"/>
          <w:sz w:val="20"/>
          <w:szCs w:val="20"/>
        </w:rPr>
        <w:t>icht in Betracht gezogen hätten</w:t>
      </w:r>
      <w:r w:rsidRPr="00955DA0">
        <w:rPr>
          <w:rFonts w:ascii="Calibri Light" w:hAnsi="Calibri Light"/>
          <w:sz w:val="20"/>
          <w:szCs w:val="20"/>
        </w:rPr>
        <w:t>“, sagt Jayasree K. Iyer, Geschäftsführe</w:t>
      </w:r>
      <w:r w:rsidR="00A4641C" w:rsidRPr="00955DA0">
        <w:rPr>
          <w:rFonts w:ascii="Calibri Light" w:hAnsi="Calibri Light"/>
          <w:sz w:val="20"/>
          <w:szCs w:val="20"/>
        </w:rPr>
        <w:t>rin der</w:t>
      </w:r>
      <w:r w:rsidR="00893551" w:rsidRPr="00955DA0">
        <w:rPr>
          <w:rFonts w:ascii="Calibri Light" w:hAnsi="Calibri Light"/>
          <w:sz w:val="20"/>
          <w:szCs w:val="20"/>
        </w:rPr>
        <w:t xml:space="preserve"> Access </w:t>
      </w:r>
      <w:proofErr w:type="spellStart"/>
      <w:r w:rsidR="00893551" w:rsidRPr="00955DA0">
        <w:rPr>
          <w:rFonts w:ascii="Calibri Light" w:hAnsi="Calibri Light"/>
          <w:sz w:val="20"/>
          <w:szCs w:val="20"/>
        </w:rPr>
        <w:t>to</w:t>
      </w:r>
      <w:proofErr w:type="spellEnd"/>
      <w:r w:rsidR="00893551" w:rsidRPr="00955DA0">
        <w:rPr>
          <w:rFonts w:ascii="Calibri Light" w:hAnsi="Calibri Light"/>
          <w:sz w:val="20"/>
          <w:szCs w:val="20"/>
        </w:rPr>
        <w:t xml:space="preserve"> </w:t>
      </w:r>
      <w:proofErr w:type="spellStart"/>
      <w:r w:rsidR="00893551" w:rsidRPr="00955DA0">
        <w:rPr>
          <w:rFonts w:ascii="Calibri Light" w:hAnsi="Calibri Light"/>
          <w:sz w:val="20"/>
          <w:szCs w:val="20"/>
        </w:rPr>
        <w:t>Medicine</w:t>
      </w:r>
      <w:proofErr w:type="spellEnd"/>
      <w:r w:rsidR="00893551" w:rsidRPr="00955DA0">
        <w:rPr>
          <w:rFonts w:ascii="Calibri Light" w:hAnsi="Calibri Light"/>
          <w:sz w:val="20"/>
          <w:szCs w:val="20"/>
        </w:rPr>
        <w:t xml:space="preserve"> </w:t>
      </w:r>
      <w:proofErr w:type="spellStart"/>
      <w:r w:rsidR="00893551" w:rsidRPr="00955DA0">
        <w:rPr>
          <w:rFonts w:ascii="Calibri Light" w:hAnsi="Calibri Light"/>
          <w:sz w:val="20"/>
          <w:szCs w:val="20"/>
        </w:rPr>
        <w:t>Foundation</w:t>
      </w:r>
      <w:proofErr w:type="spellEnd"/>
      <w:r w:rsidRPr="00955DA0">
        <w:rPr>
          <w:rFonts w:ascii="Calibri Light" w:hAnsi="Calibri Light"/>
          <w:sz w:val="20"/>
          <w:szCs w:val="20"/>
        </w:rPr>
        <w:t>: „Der partnerschaftliche Ansatz funktioniert.“</w:t>
      </w:r>
    </w:p>
    <w:p w14:paraId="5C6CE64A" w14:textId="77777777" w:rsidR="00121461"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lastRenderedPageBreak/>
        <w:t xml:space="preserve">Die Fortschritte, noch mehr Medizin noch besser verfügbar zu machen, lassen sich auch daran </w:t>
      </w:r>
      <w:r w:rsidR="00A4641C" w:rsidRPr="00955DA0">
        <w:rPr>
          <w:rFonts w:ascii="Calibri Light" w:hAnsi="Calibri Light"/>
          <w:sz w:val="20"/>
          <w:szCs w:val="20"/>
        </w:rPr>
        <w:t>ablesen</w:t>
      </w:r>
      <w:r w:rsidRPr="00955DA0">
        <w:rPr>
          <w:rFonts w:ascii="Calibri Light" w:hAnsi="Calibri Light"/>
          <w:sz w:val="20"/>
          <w:szCs w:val="20"/>
        </w:rPr>
        <w:t xml:space="preserve">, wie Unternehmen mit ihren Patenten umgehen und in welchem Umfang sie anderen Herstellern erlauben, Generika ihrer Produkte herzustellen. </w:t>
      </w:r>
    </w:p>
    <w:p w14:paraId="1289E838" w14:textId="4288324A" w:rsidR="00121461" w:rsidRPr="00955DA0" w:rsidRDefault="00ED15E6" w:rsidP="00121461">
      <w:pPr>
        <w:pStyle w:val="NormalWeb"/>
        <w:spacing w:after="0"/>
        <w:rPr>
          <w:rFonts w:ascii="Calibri Light" w:hAnsi="Calibri Light"/>
          <w:sz w:val="20"/>
          <w:szCs w:val="20"/>
        </w:rPr>
      </w:pPr>
      <w:r w:rsidRPr="00955DA0">
        <w:rPr>
          <w:rFonts w:ascii="Calibri Light" w:hAnsi="Calibri Light"/>
          <w:b/>
          <w:sz w:val="20"/>
          <w:szCs w:val="20"/>
        </w:rPr>
        <w:t>Erstmals freiwillige Lizenzvereinbarungen für Hepatitis C</w:t>
      </w:r>
      <w:r w:rsidR="007728A9" w:rsidRPr="00955DA0">
        <w:rPr>
          <w:rFonts w:ascii="Calibri Light" w:hAnsi="Calibri Light"/>
          <w:sz w:val="20"/>
          <w:szCs w:val="20"/>
        </w:rPr>
        <w:br/>
      </w:r>
      <w:r w:rsidR="00121461" w:rsidRPr="00955DA0">
        <w:rPr>
          <w:rFonts w:ascii="Calibri Light" w:hAnsi="Calibri Light"/>
          <w:sz w:val="20"/>
          <w:szCs w:val="20"/>
        </w:rPr>
        <w:t xml:space="preserve">Seit 2014 haben sich sieben Unternehmen neu oder in noch größerem Maße dazu verpflichtet, auf Patentrechte für bestimmte Produkte in bestimmten Regionen zu verzichten. So gibt es mehr Produkte gegen HIV/AIDS, die unter freiwilligen Lizenzvereinbarungen laufen und die in mehr Ländern als zuvor gültig sind. Zum ersten Mal überhaupt gibt es diese Vereinbarung auch für eine andere Krankheit als HIV/AIDS: Hepatitis C. Weltweit leiden zwischen 130 und 150 Millionen Menschen an dieser chronischen Infektion. </w:t>
      </w:r>
    </w:p>
    <w:p w14:paraId="4F9E57CD" w14:textId="77777777" w:rsidR="00121461" w:rsidRPr="00955DA0" w:rsidRDefault="00121461" w:rsidP="00121461">
      <w:pPr>
        <w:pStyle w:val="NormalWeb"/>
        <w:spacing w:after="0"/>
        <w:rPr>
          <w:rFonts w:ascii="Calibri Light" w:hAnsi="Calibri Light"/>
          <w:sz w:val="20"/>
          <w:szCs w:val="20"/>
        </w:rPr>
      </w:pPr>
      <w:r w:rsidRPr="00955DA0">
        <w:rPr>
          <w:rFonts w:ascii="Calibri Light" w:hAnsi="Calibri Light"/>
          <w:sz w:val="20"/>
          <w:szCs w:val="20"/>
        </w:rPr>
        <w:t>Allerdings kann ein Produkt nur dann in einem Land zum Einsatz kommen, wenn es dort registriert ist. Der Index ergab, dass Unternehmen für ihre neuesten Produkte in nur 25 Prozent der Länder, die der Index als hohe Priorität eingestuft hat, eine Registrierung beantragen.</w:t>
      </w:r>
    </w:p>
    <w:p w14:paraId="089B3ACD" w14:textId="7016148A" w:rsidR="00121461" w:rsidRPr="00955DA0" w:rsidRDefault="003B0A5E" w:rsidP="0098406F">
      <w:pPr>
        <w:pStyle w:val="NormalWeb"/>
        <w:spacing w:after="0"/>
        <w:rPr>
          <w:rFonts w:ascii="Calibri Light" w:hAnsi="Calibri Light"/>
          <w:sz w:val="20"/>
          <w:szCs w:val="20"/>
        </w:rPr>
      </w:pPr>
      <w:r w:rsidRPr="00955DA0">
        <w:rPr>
          <w:rFonts w:ascii="Calibri Light" w:hAnsi="Calibri Light"/>
          <w:sz w:val="20"/>
          <w:szCs w:val="20"/>
        </w:rPr>
        <w:t xml:space="preserve">Ein weiterer Eckpfeiler, </w:t>
      </w:r>
      <w:r w:rsidR="00601681" w:rsidRPr="00955DA0">
        <w:rPr>
          <w:rFonts w:ascii="Calibri Light" w:hAnsi="Calibri Light"/>
          <w:sz w:val="20"/>
          <w:szCs w:val="20"/>
        </w:rPr>
        <w:t>um den Zugang zur medizinischen Versorgung zu verbessern, ist es, die Produkte erschwinglicher zu machen</w:t>
      </w:r>
      <w:r w:rsidRPr="00955DA0">
        <w:rPr>
          <w:rFonts w:ascii="Calibri Light" w:hAnsi="Calibri Light"/>
          <w:sz w:val="20"/>
          <w:szCs w:val="20"/>
        </w:rPr>
        <w:t xml:space="preserve">. </w:t>
      </w:r>
      <w:r w:rsidR="00121461" w:rsidRPr="00955DA0">
        <w:rPr>
          <w:rFonts w:ascii="Calibri Light" w:hAnsi="Calibri Light"/>
          <w:sz w:val="20"/>
          <w:szCs w:val="20"/>
        </w:rPr>
        <w:t>Der Index hat herausgefunden, dass bei einem Drittel der relevanten Produkte die Zahlungsfähigkeit berücksichtigt wird. Das hat sich seit dem Index 2014 nicht verändert. Nur 5 Prozent der Produkte (44 von 850) verfolgen so eine Preisstrategie in den Ländern, die der Index in die höchste Dringlichkeitsstufe einordnet, wobei mindestens ein sozialwirtschaftlicher Faktor berücksichtigt wird. Rund die Hälfte dieser Produkte komme</w:t>
      </w:r>
      <w:r w:rsidR="00C0340B" w:rsidRPr="00955DA0">
        <w:rPr>
          <w:rFonts w:ascii="Calibri Light" w:hAnsi="Calibri Light"/>
          <w:sz w:val="20"/>
          <w:szCs w:val="20"/>
        </w:rPr>
        <w:t xml:space="preserve">n von GSK und </w:t>
      </w:r>
      <w:proofErr w:type="spellStart"/>
      <w:r w:rsidR="00C0340B" w:rsidRPr="00955DA0">
        <w:rPr>
          <w:rFonts w:ascii="Calibri Light" w:hAnsi="Calibri Light"/>
          <w:sz w:val="20"/>
          <w:szCs w:val="20"/>
        </w:rPr>
        <w:t>AstraZeneca</w:t>
      </w:r>
      <w:proofErr w:type="spellEnd"/>
      <w:r w:rsidR="00C0340B" w:rsidRPr="00955DA0">
        <w:rPr>
          <w:rFonts w:ascii="Calibri Light" w:hAnsi="Calibri Light"/>
          <w:sz w:val="20"/>
          <w:szCs w:val="20"/>
        </w:rPr>
        <w:t xml:space="preserve">. </w:t>
      </w:r>
    </w:p>
    <w:p w14:paraId="462B9075" w14:textId="77777777" w:rsidR="00121461" w:rsidRPr="00955DA0" w:rsidRDefault="00121461" w:rsidP="00121461">
      <w:pPr>
        <w:pStyle w:val="NormalWeb"/>
        <w:spacing w:after="0"/>
        <w:rPr>
          <w:rFonts w:ascii="Calibri Light" w:hAnsi="Calibri Light"/>
          <w:b/>
          <w:sz w:val="20"/>
          <w:szCs w:val="20"/>
        </w:rPr>
      </w:pPr>
      <w:r w:rsidRPr="00955DA0">
        <w:rPr>
          <w:rFonts w:ascii="Calibri Light" w:hAnsi="Calibri Light"/>
          <w:b/>
          <w:sz w:val="20"/>
          <w:szCs w:val="20"/>
        </w:rPr>
        <w:t>Weitere Ergebnisse</w:t>
      </w:r>
    </w:p>
    <w:p w14:paraId="1051A502" w14:textId="77777777" w:rsidR="00121461" w:rsidRPr="00955DA0" w:rsidRDefault="00121461" w:rsidP="00121461">
      <w:pPr>
        <w:pStyle w:val="NormalWeb"/>
        <w:numPr>
          <w:ilvl w:val="0"/>
          <w:numId w:val="1"/>
        </w:numPr>
        <w:spacing w:after="0"/>
        <w:rPr>
          <w:rFonts w:ascii="Calibri Light" w:hAnsi="Calibri Light"/>
          <w:sz w:val="20"/>
          <w:szCs w:val="20"/>
        </w:rPr>
      </w:pPr>
      <w:bookmarkStart w:id="2" w:name="result_box1"/>
      <w:bookmarkEnd w:id="2"/>
      <w:r w:rsidRPr="00955DA0">
        <w:rPr>
          <w:rFonts w:ascii="Calibri Light" w:hAnsi="Calibri Light"/>
          <w:sz w:val="20"/>
          <w:szCs w:val="20"/>
        </w:rPr>
        <w:t>Ein Viertel der Unternehmen (5) hat neue Geschäftsmodelle entwickelt, um Bevölkerungsgruppen mit niedrigem Einkommen zu erreichen.</w:t>
      </w:r>
    </w:p>
    <w:p w14:paraId="273402AA" w14:textId="77777777" w:rsidR="00121461" w:rsidRPr="00955DA0" w:rsidRDefault="00121461" w:rsidP="00121461">
      <w:pPr>
        <w:pStyle w:val="NormalWeb"/>
        <w:numPr>
          <w:ilvl w:val="0"/>
          <w:numId w:val="1"/>
        </w:numPr>
        <w:spacing w:after="0"/>
        <w:rPr>
          <w:rFonts w:ascii="Calibri Light" w:hAnsi="Calibri Light"/>
          <w:sz w:val="20"/>
          <w:szCs w:val="20"/>
        </w:rPr>
      </w:pPr>
      <w:r w:rsidRPr="00955DA0">
        <w:rPr>
          <w:rFonts w:ascii="Calibri Light" w:hAnsi="Calibri Light"/>
          <w:sz w:val="20"/>
          <w:szCs w:val="20"/>
        </w:rPr>
        <w:t xml:space="preserve">Die Krankheiten, die im Fokus der Access-Aktivitäten der Unternehmen stehen, sind Herzkrankheiten, </w:t>
      </w:r>
      <w:r w:rsidRPr="00955DA0">
        <w:rPr>
          <w:rStyle w:val="Emphasis"/>
          <w:rFonts w:ascii="Calibri Light" w:hAnsi="Calibri Light"/>
          <w:i w:val="0"/>
          <w:iCs w:val="0"/>
          <w:sz w:val="20"/>
          <w:szCs w:val="20"/>
        </w:rPr>
        <w:t>Infektionen der unteren Atemwege und HIV/AIDS. R&amp;D der Unternehmen konzentriert sich auf fünf Krankheiten, primär auf Infektionen der unteren Atemwege, gefolgt von Diabetes, Malaria, Virushepatitis und HIV/AIDS.</w:t>
      </w:r>
    </w:p>
    <w:p w14:paraId="1156EB6F" w14:textId="77777777" w:rsidR="00121461" w:rsidRPr="00955DA0" w:rsidRDefault="00121461" w:rsidP="00121461">
      <w:pPr>
        <w:pStyle w:val="NormalWeb"/>
        <w:numPr>
          <w:ilvl w:val="0"/>
          <w:numId w:val="1"/>
        </w:numPr>
        <w:spacing w:after="0"/>
        <w:rPr>
          <w:rFonts w:ascii="Calibri Light" w:hAnsi="Calibri Light"/>
          <w:sz w:val="20"/>
          <w:szCs w:val="20"/>
        </w:rPr>
      </w:pPr>
      <w:r w:rsidRPr="00955DA0">
        <w:rPr>
          <w:rStyle w:val="Emphasis"/>
          <w:rFonts w:ascii="Calibri Light" w:hAnsi="Calibri Light"/>
          <w:i w:val="0"/>
          <w:iCs w:val="0"/>
          <w:sz w:val="20"/>
          <w:szCs w:val="20"/>
        </w:rPr>
        <w:t xml:space="preserve">Die meisten Unternehmen setzen sich dafür ein, das Gesundheitssystem in Ländern mit niedrigem und mittlerem Einkommen zu stärken. Sechs Unternehmen stimmen dabei ihre Tätigkeiten mit den Prioritäten ab, die </w:t>
      </w:r>
      <w:r w:rsidR="00893551" w:rsidRPr="00955DA0">
        <w:rPr>
          <w:rStyle w:val="Emphasis"/>
          <w:rFonts w:ascii="Calibri Light" w:hAnsi="Calibri Light"/>
          <w:i w:val="0"/>
          <w:iCs w:val="0"/>
          <w:sz w:val="20"/>
          <w:szCs w:val="20"/>
        </w:rPr>
        <w:t>lokal, zum Beispiel</w:t>
      </w:r>
      <w:r w:rsidRPr="00955DA0">
        <w:rPr>
          <w:rStyle w:val="Emphasis"/>
          <w:rFonts w:ascii="Calibri Light" w:hAnsi="Calibri Light"/>
          <w:i w:val="0"/>
          <w:iCs w:val="0"/>
          <w:sz w:val="20"/>
          <w:szCs w:val="20"/>
        </w:rPr>
        <w:t xml:space="preserve"> </w:t>
      </w:r>
      <w:r w:rsidR="00893551" w:rsidRPr="00955DA0">
        <w:rPr>
          <w:rStyle w:val="Emphasis"/>
          <w:rFonts w:ascii="Calibri Light" w:hAnsi="Calibri Light"/>
          <w:i w:val="0"/>
          <w:iCs w:val="0"/>
          <w:sz w:val="20"/>
          <w:szCs w:val="20"/>
        </w:rPr>
        <w:t>von</w:t>
      </w:r>
      <w:r w:rsidRPr="00955DA0">
        <w:rPr>
          <w:rStyle w:val="Emphasis"/>
          <w:rFonts w:ascii="Calibri Light" w:hAnsi="Calibri Light"/>
          <w:i w:val="0"/>
          <w:iCs w:val="0"/>
          <w:sz w:val="20"/>
          <w:szCs w:val="20"/>
        </w:rPr>
        <w:t xml:space="preserve"> Regierungen, festgelegt wurden. </w:t>
      </w:r>
    </w:p>
    <w:p w14:paraId="4E92B33A" w14:textId="77777777" w:rsidR="00121461" w:rsidRPr="00955DA0" w:rsidRDefault="00121461" w:rsidP="00121461">
      <w:pPr>
        <w:pStyle w:val="NormalWeb"/>
        <w:spacing w:after="0"/>
        <w:rPr>
          <w:rFonts w:ascii="Calibri Light" w:hAnsi="Calibri Light"/>
          <w:sz w:val="20"/>
          <w:szCs w:val="20"/>
        </w:rPr>
      </w:pPr>
      <w:r w:rsidRPr="00955DA0">
        <w:rPr>
          <w:rStyle w:val="Emphasis"/>
          <w:rFonts w:ascii="Calibri Light" w:hAnsi="Calibri Light"/>
          <w:i w:val="0"/>
          <w:iCs w:val="0"/>
          <w:sz w:val="20"/>
          <w:szCs w:val="20"/>
        </w:rPr>
        <w:t xml:space="preserve">Die Unternehmen, die sich im Ranking am meisten verbessern konnten, waren </w:t>
      </w:r>
      <w:proofErr w:type="spellStart"/>
      <w:r w:rsidRPr="00955DA0">
        <w:rPr>
          <w:rStyle w:val="Emphasis"/>
          <w:rFonts w:ascii="Calibri Light" w:hAnsi="Calibri Light"/>
          <w:i w:val="0"/>
          <w:iCs w:val="0"/>
          <w:sz w:val="20"/>
          <w:szCs w:val="20"/>
        </w:rPr>
        <w:t>AstraZeneca</w:t>
      </w:r>
      <w:proofErr w:type="spellEnd"/>
      <w:r w:rsidRPr="00955DA0">
        <w:rPr>
          <w:rStyle w:val="Emphasis"/>
          <w:rFonts w:ascii="Calibri Light" w:hAnsi="Calibri Light"/>
          <w:i w:val="0"/>
          <w:iCs w:val="0"/>
          <w:sz w:val="20"/>
          <w:szCs w:val="20"/>
        </w:rPr>
        <w:t xml:space="preserve"> und </w:t>
      </w:r>
      <w:proofErr w:type="spellStart"/>
      <w:r w:rsidRPr="00955DA0">
        <w:rPr>
          <w:rStyle w:val="Emphasis"/>
          <w:rFonts w:ascii="Calibri Light" w:hAnsi="Calibri Light"/>
          <w:i w:val="0"/>
          <w:iCs w:val="0"/>
          <w:sz w:val="20"/>
          <w:szCs w:val="20"/>
        </w:rPr>
        <w:t>Takeda</w:t>
      </w:r>
      <w:proofErr w:type="spellEnd"/>
      <w:r w:rsidRPr="00955DA0">
        <w:rPr>
          <w:rStyle w:val="Emphasis"/>
          <w:rFonts w:ascii="Calibri Light" w:hAnsi="Calibri Light"/>
          <w:i w:val="0"/>
          <w:iCs w:val="0"/>
          <w:sz w:val="20"/>
          <w:szCs w:val="20"/>
        </w:rPr>
        <w:t xml:space="preserve">. Beide haben im großen Maße ihre Access-Strategien ausgebaut und angepasst. </w:t>
      </w:r>
      <w:proofErr w:type="spellStart"/>
      <w:r w:rsidRPr="00955DA0">
        <w:rPr>
          <w:rStyle w:val="Emphasis"/>
          <w:rFonts w:ascii="Calibri Light" w:hAnsi="Calibri Light"/>
          <w:i w:val="0"/>
          <w:iCs w:val="0"/>
          <w:sz w:val="20"/>
          <w:szCs w:val="20"/>
        </w:rPr>
        <w:t>AstraZeneca</w:t>
      </w:r>
      <w:proofErr w:type="spellEnd"/>
      <w:r w:rsidRPr="00955DA0">
        <w:rPr>
          <w:rStyle w:val="Emphasis"/>
          <w:rFonts w:ascii="Calibri Light" w:hAnsi="Calibri Light"/>
          <w:i w:val="0"/>
          <w:iCs w:val="0"/>
          <w:sz w:val="20"/>
          <w:szCs w:val="20"/>
        </w:rPr>
        <w:t xml:space="preserve"> verbesserte sich um acht Plätze und hat nun mit dem sieben Platz die Top </w:t>
      </w:r>
      <w:proofErr w:type="spellStart"/>
      <w:r w:rsidRPr="00955DA0">
        <w:rPr>
          <w:rStyle w:val="Emphasis"/>
          <w:rFonts w:ascii="Calibri Light" w:hAnsi="Calibri Light"/>
          <w:i w:val="0"/>
          <w:iCs w:val="0"/>
          <w:sz w:val="20"/>
          <w:szCs w:val="20"/>
        </w:rPr>
        <w:t>Ten</w:t>
      </w:r>
      <w:proofErr w:type="spellEnd"/>
      <w:r w:rsidRPr="00955DA0">
        <w:rPr>
          <w:rStyle w:val="Emphasis"/>
          <w:rFonts w:ascii="Calibri Light" w:hAnsi="Calibri Light"/>
          <w:i w:val="0"/>
          <w:iCs w:val="0"/>
          <w:sz w:val="20"/>
          <w:szCs w:val="20"/>
        </w:rPr>
        <w:t xml:space="preserve"> erobert. </w:t>
      </w:r>
      <w:proofErr w:type="spellStart"/>
      <w:r w:rsidRPr="00955DA0">
        <w:rPr>
          <w:rStyle w:val="Emphasis"/>
          <w:rFonts w:ascii="Calibri Light" w:hAnsi="Calibri Light"/>
          <w:i w:val="0"/>
          <w:iCs w:val="0"/>
          <w:sz w:val="20"/>
          <w:szCs w:val="20"/>
        </w:rPr>
        <w:t>Takeda</w:t>
      </w:r>
      <w:proofErr w:type="spellEnd"/>
      <w:r w:rsidRPr="00955DA0">
        <w:rPr>
          <w:rStyle w:val="Emphasis"/>
          <w:rFonts w:ascii="Calibri Light" w:hAnsi="Calibri Light"/>
          <w:i w:val="0"/>
          <w:iCs w:val="0"/>
          <w:sz w:val="20"/>
          <w:szCs w:val="20"/>
        </w:rPr>
        <w:t xml:space="preserve"> stieg um fünf Plätze auf Rang 15. Unterdessen sind Novo </w:t>
      </w:r>
      <w:proofErr w:type="spellStart"/>
      <w:r w:rsidRPr="00955DA0">
        <w:rPr>
          <w:rStyle w:val="Emphasis"/>
          <w:rFonts w:ascii="Calibri Light" w:hAnsi="Calibri Light"/>
          <w:i w:val="0"/>
          <w:iCs w:val="0"/>
          <w:sz w:val="20"/>
          <w:szCs w:val="20"/>
        </w:rPr>
        <w:t>Nordisk</w:t>
      </w:r>
      <w:proofErr w:type="spellEnd"/>
      <w:r w:rsidRPr="00955DA0">
        <w:rPr>
          <w:rStyle w:val="Emphasis"/>
          <w:rFonts w:ascii="Calibri Light" w:hAnsi="Calibri Light"/>
          <w:i w:val="0"/>
          <w:iCs w:val="0"/>
          <w:sz w:val="20"/>
          <w:szCs w:val="20"/>
        </w:rPr>
        <w:t xml:space="preserve">, Roche und </w:t>
      </w:r>
      <w:proofErr w:type="spellStart"/>
      <w:r w:rsidRPr="00955DA0">
        <w:rPr>
          <w:rStyle w:val="Emphasis"/>
          <w:rFonts w:ascii="Calibri Light" w:hAnsi="Calibri Light"/>
          <w:i w:val="0"/>
          <w:iCs w:val="0"/>
          <w:sz w:val="20"/>
          <w:szCs w:val="20"/>
        </w:rPr>
        <w:t>Gilead</w:t>
      </w:r>
      <w:proofErr w:type="spellEnd"/>
      <w:r w:rsidRPr="00955DA0">
        <w:rPr>
          <w:rStyle w:val="Emphasis"/>
          <w:rFonts w:ascii="Calibri Light" w:hAnsi="Calibri Light"/>
          <w:i w:val="0"/>
          <w:iCs w:val="0"/>
          <w:sz w:val="20"/>
          <w:szCs w:val="20"/>
        </w:rPr>
        <w:t xml:space="preserve"> am stärksten gefallen, da sie von den anderen Unternehmen leistungsmäßig übertroffen wurden. </w:t>
      </w:r>
    </w:p>
    <w:p w14:paraId="66CA30C3" w14:textId="019D724C" w:rsidR="00955DA0" w:rsidRDefault="00121461" w:rsidP="00955DA0">
      <w:pPr>
        <w:pStyle w:val="NormalWeb"/>
        <w:spacing w:after="0"/>
        <w:rPr>
          <w:rStyle w:val="Emphasis"/>
          <w:rFonts w:ascii="Calibri Light" w:hAnsi="Calibri Light"/>
          <w:i w:val="0"/>
          <w:iCs w:val="0"/>
          <w:sz w:val="20"/>
          <w:szCs w:val="20"/>
        </w:rPr>
      </w:pPr>
      <w:r w:rsidRPr="00955DA0">
        <w:rPr>
          <w:rStyle w:val="Emphasis"/>
          <w:rFonts w:ascii="Calibri Light" w:hAnsi="Calibri Light"/>
          <w:i w:val="0"/>
          <w:iCs w:val="0"/>
          <w:sz w:val="20"/>
          <w:szCs w:val="20"/>
        </w:rPr>
        <w:t>„Wir bewerten diese 20 Unternehmen inzwischen seit zehn Jahren. Wir wissen, was wo funktioniert. Es gibt bewährte Verfahren und dort, wo es Mechanismen gibt, die Anreize für das Engagement der Branche bieten – zum Beispiel Patentgemeinschaften, gemeinsame R&amp;D-Modelle, Multi-Stakeholder-Initiativen und internationale Verpflichtungen zu bestimmen Krankheiten – sehen wir einen Zuspruch in der Branche“, sagt Iyer</w:t>
      </w:r>
      <w:r w:rsidR="00F66DA1" w:rsidRPr="00955DA0">
        <w:rPr>
          <w:rStyle w:val="Emphasis"/>
          <w:rFonts w:ascii="Calibri Light" w:hAnsi="Calibri Light"/>
          <w:i w:val="0"/>
          <w:iCs w:val="0"/>
          <w:sz w:val="20"/>
          <w:szCs w:val="20"/>
        </w:rPr>
        <w:t xml:space="preserve">. „Der Zugang zur medizinischen </w:t>
      </w:r>
      <w:r w:rsidRPr="00955DA0">
        <w:rPr>
          <w:rStyle w:val="Emphasis"/>
          <w:rFonts w:ascii="Calibri Light" w:hAnsi="Calibri Light"/>
          <w:i w:val="0"/>
          <w:iCs w:val="0"/>
          <w:sz w:val="20"/>
          <w:szCs w:val="20"/>
        </w:rPr>
        <w:t xml:space="preserve">Versorgung ist eine gemeinsame Verantwortung und alle Stakeholder, von der Industrie über Regierungen bis hin zu den weltweiten Gesundheitsorganisationen, müssen sich selbst herausfordern, diesen Einsatz auszubauen. Nur so kann man gewährleisten, dass noch mehr Produkte in noch mehr Ländern berücksichtigt werden, sodass pharmazeutische Produkte die Menschen erreichen, die sie brauchen.“ </w:t>
      </w:r>
    </w:p>
    <w:p w14:paraId="10366E35" w14:textId="77777777" w:rsidR="00604B07" w:rsidRPr="00955DA0" w:rsidRDefault="00604B07" w:rsidP="00955DA0">
      <w:pPr>
        <w:pStyle w:val="NormalWeb"/>
        <w:spacing w:after="0"/>
        <w:rPr>
          <w:rFonts w:ascii="Calibri Light" w:hAnsi="Calibri Light"/>
          <w:sz w:val="20"/>
          <w:szCs w:val="20"/>
        </w:rPr>
      </w:pPr>
    </w:p>
    <w:p w14:paraId="75BDA1C5" w14:textId="71847585" w:rsidR="00955DA0" w:rsidRPr="00604B07" w:rsidRDefault="00A60890" w:rsidP="003060A1">
      <w:pPr>
        <w:pStyle w:val="ListParagraph1"/>
        <w:widowControl w:val="0"/>
        <w:numPr>
          <w:ilvl w:val="0"/>
          <w:numId w:val="2"/>
        </w:numPr>
        <w:jc w:val="center"/>
        <w:rPr>
          <w:rStyle w:val="Emphasis"/>
          <w:rFonts w:ascii="Calibri Light" w:hAnsi="Calibri Light" w:cs="Calibri"/>
          <w:i w:val="0"/>
          <w:iCs w:val="0"/>
          <w:lang w:val="de-DE"/>
        </w:rPr>
      </w:pPr>
      <w:r w:rsidRPr="00955DA0">
        <w:rPr>
          <w:rFonts w:ascii="Calibri Light" w:hAnsi="Calibri Light" w:cs="Calibri"/>
          <w:lang w:val="de-DE"/>
        </w:rPr>
        <w:t xml:space="preserve">ENDE DER PRESSEMELDUNG </w:t>
      </w:r>
      <w:r w:rsidRPr="00955DA0">
        <w:rPr>
          <w:rFonts w:ascii="Calibri Light" w:hAnsi="Calibri Light" w:cs="Calibri"/>
          <w:lang w:val="de-DE"/>
        </w:rPr>
        <w:tab/>
        <w:t>-</w:t>
      </w:r>
    </w:p>
    <w:p w14:paraId="70DB9997" w14:textId="6BEF2872" w:rsidR="003060A1" w:rsidRPr="00955DA0" w:rsidRDefault="003060A1" w:rsidP="003060A1">
      <w:pPr>
        <w:rPr>
          <w:rStyle w:val="Emphasis"/>
          <w:rFonts w:ascii="Calibri Light" w:eastAsia="Times New Roman" w:hAnsi="Calibri Light" w:cs="Times New Roman"/>
          <w:b/>
          <w:i w:val="0"/>
          <w:iCs w:val="0"/>
          <w:sz w:val="20"/>
          <w:szCs w:val="20"/>
          <w:lang w:eastAsia="de-DE"/>
        </w:rPr>
      </w:pPr>
      <w:r w:rsidRPr="00955DA0">
        <w:rPr>
          <w:rStyle w:val="Emphasis"/>
          <w:rFonts w:ascii="Calibri Light" w:eastAsia="Times New Roman" w:hAnsi="Calibri Light" w:cs="Times New Roman"/>
          <w:b/>
          <w:i w:val="0"/>
          <w:iCs w:val="0"/>
          <w:sz w:val="20"/>
          <w:szCs w:val="20"/>
          <w:lang w:eastAsia="de-DE"/>
        </w:rPr>
        <w:t xml:space="preserve">Hinweise für Reporter: </w:t>
      </w:r>
    </w:p>
    <w:p w14:paraId="33A03C47" w14:textId="67E6B81B" w:rsidR="003060A1" w:rsidRPr="00955DA0" w:rsidRDefault="003060A1" w:rsidP="003060A1">
      <w:pPr>
        <w:spacing w:line="240" w:lineRule="auto"/>
        <w:rPr>
          <w:rStyle w:val="Emphasis"/>
          <w:rFonts w:ascii="Calibri Light" w:eastAsia="Times New Roman" w:hAnsi="Calibri Light" w:cs="Times New Roman"/>
          <w:i w:val="0"/>
          <w:iCs w:val="0"/>
          <w:sz w:val="20"/>
          <w:szCs w:val="20"/>
          <w:lang w:eastAsia="de-DE"/>
        </w:rPr>
      </w:pPr>
      <w:r w:rsidRPr="00955DA0">
        <w:rPr>
          <w:rFonts w:ascii="Calibri Light" w:hAnsi="Calibri Light"/>
          <w:b/>
          <w:sz w:val="20"/>
          <w:szCs w:val="20"/>
        </w:rPr>
        <w:t>Medienmaterialien:</w:t>
      </w:r>
      <w:r w:rsidRPr="00955DA0">
        <w:rPr>
          <w:rStyle w:val="Emphasis"/>
          <w:rFonts w:ascii="Calibri Light" w:eastAsia="Times New Roman" w:hAnsi="Calibri Light" w:cs="Times New Roman"/>
          <w:i w:val="0"/>
          <w:iCs w:val="0"/>
          <w:sz w:val="20"/>
          <w:szCs w:val="20"/>
          <w:lang w:eastAsia="de-DE"/>
        </w:rPr>
        <w:t xml:space="preserve"> Das Ranking-Diagramm, Datenpunkte zu dessen Rekonstruktion sind auf Anfrage erhältlich. </w:t>
      </w:r>
    </w:p>
    <w:p w14:paraId="40708FA9" w14:textId="0D8090A3" w:rsidR="003060A1" w:rsidRPr="00955DA0" w:rsidRDefault="003060A1" w:rsidP="003060A1">
      <w:pPr>
        <w:pStyle w:val="NormalWeb"/>
        <w:spacing w:after="0"/>
        <w:rPr>
          <w:rFonts w:ascii="Calibri Light" w:hAnsi="Calibri Light"/>
          <w:sz w:val="20"/>
          <w:szCs w:val="20"/>
        </w:rPr>
      </w:pPr>
      <w:r w:rsidRPr="00955DA0">
        <w:rPr>
          <w:rFonts w:ascii="Calibri Light" w:hAnsi="Calibri Light"/>
          <w:b/>
          <w:sz w:val="20"/>
          <w:szCs w:val="20"/>
        </w:rPr>
        <w:t>Über den Index:</w:t>
      </w:r>
      <w:r w:rsidRPr="00955DA0">
        <w:rPr>
          <w:rFonts w:ascii="Calibri Light" w:hAnsi="Calibri Light"/>
          <w:sz w:val="20"/>
          <w:szCs w:val="20"/>
        </w:rPr>
        <w:t xml:space="preserve"> Der Access </w:t>
      </w:r>
      <w:proofErr w:type="spellStart"/>
      <w:r w:rsidRPr="00955DA0">
        <w:rPr>
          <w:rFonts w:ascii="Calibri Light" w:hAnsi="Calibri Light"/>
          <w:sz w:val="20"/>
          <w:szCs w:val="20"/>
        </w:rPr>
        <w:t>to</w:t>
      </w:r>
      <w:proofErr w:type="spellEnd"/>
      <w:r w:rsidRPr="00955DA0">
        <w:rPr>
          <w:rFonts w:ascii="Calibri Light" w:hAnsi="Calibri Light"/>
          <w:sz w:val="20"/>
          <w:szCs w:val="20"/>
        </w:rPr>
        <w:t xml:space="preserve"> </w:t>
      </w:r>
      <w:proofErr w:type="spellStart"/>
      <w:r w:rsidRPr="00955DA0">
        <w:rPr>
          <w:rFonts w:ascii="Calibri Light" w:hAnsi="Calibri Light"/>
          <w:sz w:val="20"/>
          <w:szCs w:val="20"/>
        </w:rPr>
        <w:t>Medicine</w:t>
      </w:r>
      <w:proofErr w:type="spellEnd"/>
      <w:r w:rsidRPr="00955DA0">
        <w:rPr>
          <w:rFonts w:ascii="Calibri Light" w:hAnsi="Calibri Light"/>
          <w:sz w:val="20"/>
          <w:szCs w:val="20"/>
        </w:rPr>
        <w:t xml:space="preserve"> Index analysiert die Leistungen der Top 20 der führenden </w:t>
      </w:r>
      <w:r w:rsidRPr="00955DA0">
        <w:rPr>
          <w:rStyle w:val="Emphasis"/>
          <w:rFonts w:ascii="Calibri Light" w:hAnsi="Calibri Light"/>
          <w:i w:val="0"/>
          <w:iCs w:val="0"/>
          <w:sz w:val="20"/>
          <w:szCs w:val="20"/>
        </w:rPr>
        <w:t xml:space="preserve">forschenden Pharmaunternehmen mit Produkten für schwere Krankheiten in Entwicklungsländern. Der Index bewertet, in </w:t>
      </w:r>
      <w:r w:rsidRPr="00955DA0">
        <w:rPr>
          <w:rStyle w:val="Emphasis"/>
          <w:rFonts w:ascii="Calibri Light" w:hAnsi="Calibri Light"/>
          <w:i w:val="0"/>
          <w:iCs w:val="0"/>
          <w:sz w:val="20"/>
          <w:szCs w:val="20"/>
        </w:rPr>
        <w:lastRenderedPageBreak/>
        <w:t xml:space="preserve">welchem Umfang die Unternehmen </w:t>
      </w:r>
      <w:r w:rsidRPr="00955DA0">
        <w:rPr>
          <w:rFonts w:ascii="Calibri Light" w:hAnsi="Calibri Light"/>
          <w:sz w:val="20"/>
          <w:szCs w:val="20"/>
        </w:rPr>
        <w:t xml:space="preserve">in sieben Bereichen den Zugang zur medizinischen Versorgung verbessern. Er ermittelt bewährte Verfahren und zeigt auf, wo es Fortschritte gibt und wo noch etwas getan werden muss. Der Access </w:t>
      </w:r>
      <w:proofErr w:type="spellStart"/>
      <w:r w:rsidRPr="00955DA0">
        <w:rPr>
          <w:rFonts w:ascii="Calibri Light" w:hAnsi="Calibri Light"/>
          <w:sz w:val="20"/>
          <w:szCs w:val="20"/>
        </w:rPr>
        <w:t>to</w:t>
      </w:r>
      <w:proofErr w:type="spellEnd"/>
      <w:r w:rsidRPr="00955DA0">
        <w:rPr>
          <w:rFonts w:ascii="Calibri Light" w:hAnsi="Calibri Light"/>
          <w:sz w:val="20"/>
          <w:szCs w:val="20"/>
        </w:rPr>
        <w:t xml:space="preserve"> </w:t>
      </w:r>
      <w:proofErr w:type="spellStart"/>
      <w:r w:rsidRPr="00955DA0">
        <w:rPr>
          <w:rFonts w:ascii="Calibri Light" w:hAnsi="Calibri Light"/>
          <w:sz w:val="20"/>
          <w:szCs w:val="20"/>
        </w:rPr>
        <w:t>Medicine</w:t>
      </w:r>
      <w:proofErr w:type="spellEnd"/>
      <w:r w:rsidRPr="00955DA0">
        <w:rPr>
          <w:rFonts w:ascii="Calibri Light" w:hAnsi="Calibri Light"/>
          <w:sz w:val="20"/>
          <w:szCs w:val="20"/>
        </w:rPr>
        <w:t xml:space="preserve"> Index wird alle zwei Jahre von der Access </w:t>
      </w:r>
      <w:proofErr w:type="spellStart"/>
      <w:r w:rsidRPr="00955DA0">
        <w:rPr>
          <w:rFonts w:ascii="Calibri Light" w:hAnsi="Calibri Light"/>
          <w:sz w:val="20"/>
          <w:szCs w:val="20"/>
        </w:rPr>
        <w:t>to</w:t>
      </w:r>
      <w:proofErr w:type="spellEnd"/>
      <w:r w:rsidRPr="00955DA0">
        <w:rPr>
          <w:rFonts w:ascii="Calibri Light" w:hAnsi="Calibri Light"/>
          <w:sz w:val="20"/>
          <w:szCs w:val="20"/>
        </w:rPr>
        <w:t xml:space="preserve"> </w:t>
      </w:r>
      <w:proofErr w:type="spellStart"/>
      <w:r w:rsidRPr="00955DA0">
        <w:rPr>
          <w:rFonts w:ascii="Calibri Light" w:hAnsi="Calibri Light"/>
          <w:sz w:val="20"/>
          <w:szCs w:val="20"/>
        </w:rPr>
        <w:t>Medicine</w:t>
      </w:r>
      <w:proofErr w:type="spellEnd"/>
      <w:r w:rsidRPr="00955DA0">
        <w:rPr>
          <w:rFonts w:ascii="Calibri Light" w:hAnsi="Calibri Light"/>
          <w:sz w:val="20"/>
          <w:szCs w:val="20"/>
        </w:rPr>
        <w:t xml:space="preserve"> </w:t>
      </w:r>
      <w:proofErr w:type="spellStart"/>
      <w:r w:rsidRPr="00955DA0">
        <w:rPr>
          <w:rFonts w:ascii="Calibri Light" w:hAnsi="Calibri Light"/>
          <w:sz w:val="20"/>
          <w:szCs w:val="20"/>
        </w:rPr>
        <w:t>Foundation</w:t>
      </w:r>
      <w:proofErr w:type="spellEnd"/>
      <w:r w:rsidRPr="00955DA0">
        <w:rPr>
          <w:rFonts w:ascii="Calibri Light" w:hAnsi="Calibri Light"/>
          <w:sz w:val="20"/>
          <w:szCs w:val="20"/>
        </w:rPr>
        <w:t xml:space="preserve"> veröffentlicht, einer unabhängigen Non-Profit-Organisation. Finanziert wird der Index von </w:t>
      </w:r>
      <w:r w:rsidR="00245A3B" w:rsidRPr="00955DA0">
        <w:rPr>
          <w:rFonts w:ascii="Calibri Light" w:hAnsi="Calibri Light"/>
          <w:sz w:val="20"/>
          <w:szCs w:val="20"/>
        </w:rPr>
        <w:t>dem nieder</w:t>
      </w:r>
      <w:r w:rsidR="00245A3B">
        <w:rPr>
          <w:rFonts w:ascii="Calibri Light" w:hAnsi="Calibri Light"/>
          <w:sz w:val="20"/>
          <w:szCs w:val="20"/>
        </w:rPr>
        <w:t xml:space="preserve">ländischen Außenministerium, </w:t>
      </w:r>
      <w:r w:rsidR="00245A3B" w:rsidRPr="00955DA0">
        <w:rPr>
          <w:rFonts w:ascii="Calibri Light" w:hAnsi="Calibri Light"/>
          <w:sz w:val="20"/>
          <w:szCs w:val="20"/>
        </w:rPr>
        <w:t xml:space="preserve">dem </w:t>
      </w:r>
      <w:r w:rsidR="00245A3B">
        <w:rPr>
          <w:rFonts w:ascii="Calibri Light" w:hAnsi="Calibri Light"/>
          <w:sz w:val="20"/>
          <w:szCs w:val="20"/>
        </w:rPr>
        <w:t xml:space="preserve">UK </w:t>
      </w:r>
      <w:proofErr w:type="spellStart"/>
      <w:r w:rsidR="00245A3B">
        <w:rPr>
          <w:rFonts w:ascii="Calibri Light" w:hAnsi="Calibri Light"/>
          <w:sz w:val="20"/>
          <w:szCs w:val="20"/>
        </w:rPr>
        <w:t>Aid</w:t>
      </w:r>
      <w:proofErr w:type="spellEnd"/>
      <w:r w:rsidR="00245A3B">
        <w:rPr>
          <w:rFonts w:ascii="Calibri Light" w:hAnsi="Calibri Light"/>
          <w:sz w:val="20"/>
          <w:szCs w:val="20"/>
        </w:rPr>
        <w:t xml:space="preserve"> und </w:t>
      </w:r>
      <w:r w:rsidRPr="00955DA0">
        <w:rPr>
          <w:rFonts w:ascii="Calibri Light" w:hAnsi="Calibri Light"/>
          <w:sz w:val="20"/>
          <w:szCs w:val="20"/>
        </w:rPr>
        <w:t xml:space="preserve">der </w:t>
      </w:r>
      <w:r w:rsidR="00245A3B">
        <w:rPr>
          <w:rFonts w:ascii="Calibri Light" w:hAnsi="Calibri Light"/>
          <w:sz w:val="20"/>
          <w:szCs w:val="20"/>
        </w:rPr>
        <w:t xml:space="preserve">Bill &amp; Melinda Gates </w:t>
      </w:r>
      <w:proofErr w:type="spellStart"/>
      <w:r w:rsidR="00245A3B">
        <w:rPr>
          <w:rFonts w:ascii="Calibri Light" w:hAnsi="Calibri Light"/>
          <w:sz w:val="20"/>
          <w:szCs w:val="20"/>
        </w:rPr>
        <w:t>Foundation</w:t>
      </w:r>
      <w:proofErr w:type="spellEnd"/>
      <w:r w:rsidR="00245A3B">
        <w:rPr>
          <w:rFonts w:ascii="Calibri Light" w:hAnsi="Calibri Light"/>
          <w:sz w:val="20"/>
          <w:szCs w:val="20"/>
        </w:rPr>
        <w:t>.</w:t>
      </w:r>
      <w:r w:rsidRPr="00955DA0">
        <w:rPr>
          <w:rFonts w:ascii="Calibri Light" w:hAnsi="Calibri Light"/>
          <w:sz w:val="20"/>
          <w:szCs w:val="20"/>
        </w:rPr>
        <w:t xml:space="preserve"> </w:t>
      </w:r>
    </w:p>
    <w:p w14:paraId="19FEEDFB" w14:textId="77777777" w:rsidR="003060A1" w:rsidRPr="00955DA0" w:rsidRDefault="003060A1" w:rsidP="003060A1">
      <w:pPr>
        <w:rPr>
          <w:rFonts w:ascii="Calibri Light" w:hAnsi="Calibri Light" w:cs="Calibri"/>
          <w:sz w:val="20"/>
          <w:szCs w:val="20"/>
        </w:rPr>
      </w:pPr>
    </w:p>
    <w:p w14:paraId="63FC64DD" w14:textId="77777777" w:rsidR="003060A1" w:rsidRPr="00955DA0" w:rsidRDefault="003060A1" w:rsidP="003060A1">
      <w:pPr>
        <w:rPr>
          <w:rFonts w:ascii="Calibri Light" w:hAnsi="Calibri Light"/>
          <w:b/>
          <w:sz w:val="20"/>
          <w:szCs w:val="20"/>
          <w:lang w:eastAsia="de-DE"/>
        </w:rPr>
      </w:pPr>
      <w:r w:rsidRPr="00955DA0">
        <w:rPr>
          <w:rFonts w:ascii="Calibri Light" w:hAnsi="Calibri Light"/>
          <w:b/>
          <w:sz w:val="20"/>
          <w:szCs w:val="20"/>
          <w:lang w:eastAsia="de-DE"/>
        </w:rPr>
        <w:t>Weitere Informationen erhalten Sie von:</w:t>
      </w:r>
    </w:p>
    <w:p w14:paraId="33FA51BD" w14:textId="77777777" w:rsidR="00081554" w:rsidRPr="00955DA0" w:rsidRDefault="003060A1" w:rsidP="003060A1">
      <w:pPr>
        <w:spacing w:line="240" w:lineRule="auto"/>
        <w:rPr>
          <w:rFonts w:ascii="Calibri Light" w:eastAsia="Times New Roman" w:hAnsi="Calibri Light" w:cs="Times New Roman"/>
          <w:sz w:val="20"/>
          <w:szCs w:val="20"/>
          <w:lang w:eastAsia="de-DE"/>
        </w:rPr>
      </w:pPr>
      <w:r w:rsidRPr="00955DA0">
        <w:rPr>
          <w:rFonts w:ascii="Calibri Light" w:eastAsia="Times New Roman" w:hAnsi="Calibri Light" w:cs="Times New Roman"/>
          <w:sz w:val="20"/>
          <w:szCs w:val="20"/>
          <w:lang w:eastAsia="de-DE"/>
        </w:rPr>
        <w:t xml:space="preserve">Suzanne Wolf </w:t>
      </w:r>
    </w:p>
    <w:p w14:paraId="49CF525C" w14:textId="77777777" w:rsidR="00081554" w:rsidRPr="00955DA0" w:rsidRDefault="003060A1" w:rsidP="003060A1">
      <w:pPr>
        <w:spacing w:line="240" w:lineRule="auto"/>
        <w:rPr>
          <w:rFonts w:ascii="Calibri Light" w:eastAsia="Times New Roman" w:hAnsi="Calibri Light" w:cs="Times New Roman"/>
          <w:sz w:val="20"/>
          <w:szCs w:val="20"/>
          <w:lang w:eastAsia="de-DE"/>
        </w:rPr>
      </w:pPr>
      <w:r w:rsidRPr="00955DA0">
        <w:rPr>
          <w:rFonts w:ascii="Calibri Light" w:eastAsia="Times New Roman" w:hAnsi="Calibri Light" w:cs="Times New Roman"/>
          <w:sz w:val="20"/>
          <w:szCs w:val="20"/>
          <w:lang w:eastAsia="de-DE"/>
        </w:rPr>
        <w:t>Tel: + 31 6 29 40 40 90 oder + 31 23 53 39 187</w:t>
      </w:r>
    </w:p>
    <w:p w14:paraId="79C6BA4F" w14:textId="31977641" w:rsidR="00755846" w:rsidRPr="00955DA0" w:rsidRDefault="003060A1" w:rsidP="003060A1">
      <w:pPr>
        <w:spacing w:line="240" w:lineRule="auto"/>
        <w:rPr>
          <w:rFonts w:ascii="Calibri Light" w:eastAsia="Times New Roman" w:hAnsi="Calibri Light" w:cs="Times New Roman"/>
          <w:sz w:val="20"/>
          <w:szCs w:val="20"/>
          <w:lang w:eastAsia="de-DE"/>
        </w:rPr>
      </w:pPr>
      <w:proofErr w:type="spellStart"/>
      <w:r w:rsidRPr="00955DA0">
        <w:rPr>
          <w:rFonts w:ascii="Calibri Light" w:eastAsia="Times New Roman" w:hAnsi="Calibri Light" w:cs="Times New Roman"/>
          <w:sz w:val="20"/>
          <w:szCs w:val="20"/>
          <w:lang w:eastAsia="de-DE"/>
        </w:rPr>
        <w:t>Email</w:t>
      </w:r>
      <w:proofErr w:type="spellEnd"/>
      <w:r w:rsidRPr="00955DA0">
        <w:rPr>
          <w:rFonts w:ascii="Calibri Light" w:eastAsia="Times New Roman" w:hAnsi="Calibri Light" w:cs="Times New Roman"/>
          <w:sz w:val="20"/>
          <w:szCs w:val="20"/>
          <w:lang w:eastAsia="de-DE"/>
        </w:rPr>
        <w:t xml:space="preserve">: </w:t>
      </w:r>
      <w:hyperlink r:id="rId7">
        <w:r w:rsidRPr="00955DA0">
          <w:rPr>
            <w:rFonts w:ascii="Calibri Light" w:eastAsia="Times New Roman" w:hAnsi="Calibri Light" w:cs="Times New Roman"/>
            <w:color w:val="365F91" w:themeColor="accent1" w:themeShade="BF"/>
            <w:sz w:val="20"/>
            <w:szCs w:val="20"/>
            <w:u w:val="single"/>
            <w:lang w:eastAsia="de-DE"/>
          </w:rPr>
          <w:t>swolf@atmindex.org</w:t>
        </w:r>
      </w:hyperlink>
      <w:r w:rsidRPr="00955DA0">
        <w:rPr>
          <w:rFonts w:ascii="Calibri Light" w:eastAsia="Times New Roman" w:hAnsi="Calibri Light" w:cs="Times New Roman"/>
          <w:sz w:val="20"/>
          <w:szCs w:val="20"/>
          <w:lang w:eastAsia="de-DE"/>
        </w:rPr>
        <w:tab/>
        <w:t xml:space="preserve">Website: </w:t>
      </w:r>
      <w:hyperlink r:id="rId8" w:history="1">
        <w:r w:rsidRPr="00955DA0">
          <w:rPr>
            <w:rFonts w:ascii="Calibri Light" w:eastAsia="Times New Roman" w:hAnsi="Calibri Light" w:cs="Times New Roman"/>
            <w:color w:val="365F91" w:themeColor="accent1" w:themeShade="BF"/>
            <w:sz w:val="20"/>
            <w:szCs w:val="20"/>
            <w:u w:val="single"/>
            <w:lang w:eastAsia="de-DE"/>
          </w:rPr>
          <w:t>www.atmindex.org</w:t>
        </w:r>
      </w:hyperlink>
    </w:p>
    <w:sectPr w:rsidR="00755846" w:rsidRPr="00955DA0" w:rsidSect="009047DE">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DF26" w14:textId="77777777" w:rsidR="00E33464" w:rsidRDefault="00E33464" w:rsidP="00F91364">
      <w:pPr>
        <w:spacing w:after="0" w:line="240" w:lineRule="auto"/>
      </w:pPr>
      <w:r>
        <w:separator/>
      </w:r>
    </w:p>
  </w:endnote>
  <w:endnote w:type="continuationSeparator" w:id="0">
    <w:p w14:paraId="45BACFB6" w14:textId="77777777" w:rsidR="00E33464" w:rsidRDefault="00E33464" w:rsidP="00F9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0FDD" w14:textId="77777777" w:rsidR="001C2D42" w:rsidRDefault="001C2D42" w:rsidP="00CD57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59DEF" w14:textId="77777777" w:rsidR="001C2D42" w:rsidRDefault="001C2D42" w:rsidP="001C2D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9D79" w14:textId="77777777" w:rsidR="001C2D42" w:rsidRDefault="001C2D42" w:rsidP="00CD57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6C">
      <w:rPr>
        <w:rStyle w:val="PageNumber"/>
        <w:noProof/>
      </w:rPr>
      <w:t>3</w:t>
    </w:r>
    <w:r>
      <w:rPr>
        <w:rStyle w:val="PageNumber"/>
      </w:rPr>
      <w:fldChar w:fldCharType="end"/>
    </w:r>
  </w:p>
  <w:p w14:paraId="5C9C4F88" w14:textId="77777777" w:rsidR="001C2D42" w:rsidRDefault="001C2D42" w:rsidP="001C2D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8711" w14:textId="77777777" w:rsidR="00E33464" w:rsidRDefault="00E33464" w:rsidP="00F91364">
      <w:pPr>
        <w:spacing w:after="0" w:line="240" w:lineRule="auto"/>
      </w:pPr>
      <w:r>
        <w:separator/>
      </w:r>
    </w:p>
  </w:footnote>
  <w:footnote w:type="continuationSeparator" w:id="0">
    <w:p w14:paraId="5488D654" w14:textId="77777777" w:rsidR="00E33464" w:rsidRDefault="00E33464" w:rsidP="00F913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64BB" w14:textId="77777777" w:rsidR="001C2D42" w:rsidRDefault="001C2D42" w:rsidP="00CD57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668F9" w14:textId="77777777" w:rsidR="001C2D42" w:rsidRDefault="001C2D42" w:rsidP="001C2D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21B4" w14:textId="54C3B3A8" w:rsidR="003060A1" w:rsidRPr="003060A1" w:rsidRDefault="003060A1" w:rsidP="00E76F0C">
    <w:pPr>
      <w:pStyle w:val="Header"/>
      <w:jc w:val="center"/>
      <w:rPr>
        <w:rFonts w:ascii="Calibri" w:hAnsi="Calibri" w:cs="Calibri"/>
        <w:b/>
        <w:bCs/>
        <w:lang w:val="en-GB"/>
      </w:rPr>
    </w:pPr>
    <w:r w:rsidRPr="00762BBB">
      <w:rPr>
        <w:rFonts w:ascii="Calibri" w:hAnsi="Calibri" w:cs="Calibri"/>
        <w:b/>
        <w:bCs/>
        <w:lang w:val="en-GB"/>
      </w:rPr>
      <w:t>- PRESSEMITTEILUNG -</w:t>
    </w:r>
  </w:p>
  <w:p w14:paraId="5FD6AB8A" w14:textId="77777777" w:rsidR="00F91364" w:rsidRDefault="00F91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F5D3F7A"/>
    <w:multiLevelType w:val="multilevel"/>
    <w:tmpl w:val="876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1"/>
    <w:rsid w:val="00004DC4"/>
    <w:rsid w:val="00081554"/>
    <w:rsid w:val="00087F30"/>
    <w:rsid w:val="000B6018"/>
    <w:rsid w:val="000D7F64"/>
    <w:rsid w:val="000F2A09"/>
    <w:rsid w:val="00121461"/>
    <w:rsid w:val="0019046C"/>
    <w:rsid w:val="001953E1"/>
    <w:rsid w:val="001C2D42"/>
    <w:rsid w:val="001F34B2"/>
    <w:rsid w:val="0023663A"/>
    <w:rsid w:val="00245A3B"/>
    <w:rsid w:val="0025758E"/>
    <w:rsid w:val="00274144"/>
    <w:rsid w:val="0028035B"/>
    <w:rsid w:val="002B35DB"/>
    <w:rsid w:val="003060A1"/>
    <w:rsid w:val="00306F6D"/>
    <w:rsid w:val="00340D01"/>
    <w:rsid w:val="00365774"/>
    <w:rsid w:val="00384931"/>
    <w:rsid w:val="0038529B"/>
    <w:rsid w:val="003A3C4F"/>
    <w:rsid w:val="003B0A5E"/>
    <w:rsid w:val="00406959"/>
    <w:rsid w:val="00423E40"/>
    <w:rsid w:val="004253E1"/>
    <w:rsid w:val="00457839"/>
    <w:rsid w:val="00495CDE"/>
    <w:rsid w:val="004F5881"/>
    <w:rsid w:val="005255AB"/>
    <w:rsid w:val="00597D7C"/>
    <w:rsid w:val="00601681"/>
    <w:rsid w:val="00604B07"/>
    <w:rsid w:val="00613385"/>
    <w:rsid w:val="006D3B32"/>
    <w:rsid w:val="006E74A5"/>
    <w:rsid w:val="006E7787"/>
    <w:rsid w:val="006F1B64"/>
    <w:rsid w:val="00705813"/>
    <w:rsid w:val="00755846"/>
    <w:rsid w:val="0075732A"/>
    <w:rsid w:val="007728A9"/>
    <w:rsid w:val="007C4BA8"/>
    <w:rsid w:val="007F397C"/>
    <w:rsid w:val="008728D9"/>
    <w:rsid w:val="00893551"/>
    <w:rsid w:val="008A5557"/>
    <w:rsid w:val="008B6D02"/>
    <w:rsid w:val="009047DE"/>
    <w:rsid w:val="00955DA0"/>
    <w:rsid w:val="00965D82"/>
    <w:rsid w:val="0098406F"/>
    <w:rsid w:val="009B3E1E"/>
    <w:rsid w:val="009C4716"/>
    <w:rsid w:val="009C76F7"/>
    <w:rsid w:val="009E07A2"/>
    <w:rsid w:val="009E20F5"/>
    <w:rsid w:val="009F333F"/>
    <w:rsid w:val="009F447C"/>
    <w:rsid w:val="00A23F5B"/>
    <w:rsid w:val="00A35B5F"/>
    <w:rsid w:val="00A4641C"/>
    <w:rsid w:val="00A60890"/>
    <w:rsid w:val="00AC1E5C"/>
    <w:rsid w:val="00AC58F4"/>
    <w:rsid w:val="00AD529F"/>
    <w:rsid w:val="00AF1766"/>
    <w:rsid w:val="00AF29E6"/>
    <w:rsid w:val="00AF7583"/>
    <w:rsid w:val="00B26C0C"/>
    <w:rsid w:val="00B50C66"/>
    <w:rsid w:val="00B9311E"/>
    <w:rsid w:val="00BA0927"/>
    <w:rsid w:val="00C0340B"/>
    <w:rsid w:val="00C51618"/>
    <w:rsid w:val="00C616D0"/>
    <w:rsid w:val="00CC04EE"/>
    <w:rsid w:val="00D22665"/>
    <w:rsid w:val="00DE7035"/>
    <w:rsid w:val="00DF10C9"/>
    <w:rsid w:val="00E33464"/>
    <w:rsid w:val="00E76F0C"/>
    <w:rsid w:val="00E913F0"/>
    <w:rsid w:val="00ED15E6"/>
    <w:rsid w:val="00F66DA1"/>
    <w:rsid w:val="00F91364"/>
    <w:rsid w:val="00FD4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0C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461"/>
    <w:pPr>
      <w:spacing w:before="100" w:beforeAutospacing="1" w:after="119"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121461"/>
    <w:rPr>
      <w:i/>
      <w:iCs/>
    </w:rPr>
  </w:style>
  <w:style w:type="paragraph" w:styleId="Header">
    <w:name w:val="header"/>
    <w:basedOn w:val="Normal"/>
    <w:link w:val="HeaderChar"/>
    <w:unhideWhenUsed/>
    <w:rsid w:val="00F9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64"/>
  </w:style>
  <w:style w:type="paragraph" w:styleId="Footer">
    <w:name w:val="footer"/>
    <w:basedOn w:val="Normal"/>
    <w:link w:val="FooterChar"/>
    <w:uiPriority w:val="99"/>
    <w:unhideWhenUsed/>
    <w:rsid w:val="00F9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64"/>
  </w:style>
  <w:style w:type="character" w:styleId="PageNumber">
    <w:name w:val="page number"/>
    <w:basedOn w:val="DefaultParagraphFont"/>
    <w:uiPriority w:val="99"/>
    <w:semiHidden/>
    <w:unhideWhenUsed/>
    <w:rsid w:val="001C2D42"/>
  </w:style>
  <w:style w:type="character" w:styleId="Hyperlink">
    <w:name w:val="Hyperlink"/>
    <w:basedOn w:val="DefaultParagraphFont"/>
    <w:rsid w:val="003060A1"/>
  </w:style>
  <w:style w:type="paragraph" w:customStyle="1" w:styleId="ListParagraph1">
    <w:name w:val="List Paragraph1"/>
    <w:basedOn w:val="Normal"/>
    <w:rsid w:val="003060A1"/>
    <w:pPr>
      <w:suppressAutoHyphens/>
      <w:spacing w:after="0" w:line="240" w:lineRule="auto"/>
      <w:ind w:left="720"/>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yperlink" Target="http://www.atmindex.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Namratha Rao</cp:lastModifiedBy>
  <cp:revision>3</cp:revision>
  <cp:lastPrinted>2016-11-07T11:40:00Z</cp:lastPrinted>
  <dcterms:created xsi:type="dcterms:W3CDTF">2016-11-29T15:33:00Z</dcterms:created>
  <dcterms:modified xsi:type="dcterms:W3CDTF">2016-11-29T15:33:00Z</dcterms:modified>
</cp:coreProperties>
</file>